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4201C" w14:textId="5D441011" w:rsidR="00EA07F3" w:rsidRPr="00EA07F3" w:rsidRDefault="00EA07F3" w:rsidP="00EA07F3">
      <w:pPr>
        <w:spacing w:before="100" w:beforeAutospacing="1" w:after="100" w:afterAutospacing="1"/>
        <w:jc w:val="center"/>
        <w:outlineLvl w:val="2"/>
        <w:rPr>
          <w:b/>
          <w:bCs/>
          <w:sz w:val="40"/>
          <w:szCs w:val="40"/>
        </w:rPr>
      </w:pPr>
      <w:r w:rsidRPr="00EA07F3">
        <w:rPr>
          <w:b/>
          <w:bCs/>
          <w:sz w:val="40"/>
          <w:szCs w:val="40"/>
        </w:rPr>
        <w:t>Research Procedures</w:t>
      </w:r>
      <w:r w:rsidRPr="00EA07F3">
        <w:rPr>
          <w:b/>
          <w:bCs/>
          <w:sz w:val="40"/>
          <w:szCs w:val="40"/>
        </w:rPr>
        <w:t xml:space="preserve"> &amp; Table Results</w:t>
      </w:r>
    </w:p>
    <w:p w14:paraId="15508221" w14:textId="39F85F1B" w:rsidR="00EA07F3" w:rsidRPr="00EA07F3" w:rsidRDefault="00EA07F3" w:rsidP="00EA07F3">
      <w:pPr>
        <w:pStyle w:val="ListParagraph"/>
        <w:numPr>
          <w:ilvl w:val="0"/>
          <w:numId w:val="4"/>
        </w:numPr>
        <w:spacing w:before="100" w:beforeAutospacing="1" w:after="100" w:afterAutospacing="1"/>
        <w:ind w:left="284"/>
        <w:outlineLvl w:val="3"/>
        <w:rPr>
          <w:b/>
          <w:bCs/>
          <w:sz w:val="30"/>
          <w:szCs w:val="30"/>
        </w:rPr>
      </w:pPr>
      <w:r w:rsidRPr="00EA07F3">
        <w:rPr>
          <w:b/>
          <w:bCs/>
          <w:sz w:val="30"/>
          <w:szCs w:val="30"/>
        </w:rPr>
        <w:t>Sample Collection</w:t>
      </w:r>
    </w:p>
    <w:p w14:paraId="4C9CE90E" w14:textId="77777777" w:rsidR="00EA07F3" w:rsidRPr="00EA07F3" w:rsidRDefault="00EA07F3" w:rsidP="00EA07F3">
      <w:pPr>
        <w:spacing w:before="100" w:beforeAutospacing="1" w:after="100" w:afterAutospacing="1"/>
      </w:pPr>
      <w:r w:rsidRPr="00EA07F3">
        <w:t xml:space="preserve">Yellow wood root samples were obtained by ordering them online and arrived in a dried condition. The yellow wood plants were cultivated in a garden located in </w:t>
      </w:r>
      <w:proofErr w:type="spellStart"/>
      <w:r w:rsidRPr="00EA07F3">
        <w:t>Pangandaran</w:t>
      </w:r>
      <w:proofErr w:type="spellEnd"/>
      <w:r w:rsidRPr="00EA07F3">
        <w:t>, West Java, Indonesia.</w:t>
      </w:r>
    </w:p>
    <w:p w14:paraId="3AA59959" w14:textId="0069DD45" w:rsidR="00EA07F3" w:rsidRPr="00EA07F3" w:rsidRDefault="00EA07F3" w:rsidP="00EA07F3">
      <w:pPr>
        <w:spacing w:before="100" w:beforeAutospacing="1" w:after="100" w:afterAutospacing="1"/>
        <w:outlineLvl w:val="3"/>
        <w:rPr>
          <w:b/>
          <w:bCs/>
          <w:sz w:val="30"/>
          <w:szCs w:val="30"/>
        </w:rPr>
      </w:pPr>
      <w:r w:rsidRPr="00EA07F3">
        <w:rPr>
          <w:b/>
          <w:bCs/>
          <w:sz w:val="30"/>
          <w:szCs w:val="30"/>
        </w:rPr>
        <w:t xml:space="preserve">2. </w:t>
      </w:r>
      <w:r w:rsidRPr="00EA07F3">
        <w:rPr>
          <w:b/>
          <w:bCs/>
          <w:sz w:val="30"/>
          <w:szCs w:val="30"/>
        </w:rPr>
        <w:t xml:space="preserve"> Preparation of Yellow Wood Root Extract</w:t>
      </w:r>
    </w:p>
    <w:p w14:paraId="7DF8CE4F" w14:textId="166736F1" w:rsidR="00EA07F3" w:rsidRPr="00EA07F3" w:rsidRDefault="00EA07F3" w:rsidP="00EA07F3">
      <w:pPr>
        <w:spacing w:before="100" w:beforeAutospacing="1" w:after="100" w:afterAutospacing="1"/>
      </w:pPr>
      <w:r w:rsidRPr="00EA07F3">
        <w:rPr>
          <w:b/>
          <w:bCs/>
        </w:rPr>
        <w:t xml:space="preserve">Preparation of </w:t>
      </w:r>
      <w:proofErr w:type="spellStart"/>
      <w:r w:rsidRPr="00EA07F3">
        <w:rPr>
          <w:b/>
          <w:bCs/>
        </w:rPr>
        <w:t>Simplicia</w:t>
      </w:r>
      <w:proofErr w:type="spellEnd"/>
      <w:r w:rsidRPr="00EA07F3">
        <w:br/>
        <w:t xml:space="preserve">The yellow wood roots were separated from soil and small root fragments. The larger roots were cut into thin, circular slices and dried without direct exposure to sunlight. The drying process lasted for approximately 3–4 days until the roots became fully dry and changed </w:t>
      </w:r>
      <w:proofErr w:type="spellStart"/>
      <w:r w:rsidRPr="00EA07F3">
        <w:t>color</w:t>
      </w:r>
      <w:proofErr w:type="spellEnd"/>
      <w:r w:rsidRPr="00EA07F3">
        <w:t xml:space="preserve"> to yellowish-brown. The dried roots were weighed, ground using a blender, and sieved. The powdered and sieved sample was referred to as </w:t>
      </w:r>
      <w:proofErr w:type="spellStart"/>
      <w:r w:rsidRPr="00EA07F3">
        <w:t>simplicia</w:t>
      </w:r>
      <w:proofErr w:type="spellEnd"/>
      <w:r w:rsidRPr="00EA07F3">
        <w:t>.</w:t>
      </w:r>
    </w:p>
    <w:p w14:paraId="4D0FAAE1" w14:textId="10B37A92" w:rsidR="00EA07F3" w:rsidRPr="00EA07F3" w:rsidRDefault="00EA07F3" w:rsidP="00EA07F3">
      <w:pPr>
        <w:spacing w:before="100" w:beforeAutospacing="1" w:after="100" w:afterAutospacing="1"/>
      </w:pPr>
      <w:r w:rsidRPr="00EA07F3">
        <w:rPr>
          <w:b/>
          <w:bCs/>
        </w:rPr>
        <w:t>Percolation</w:t>
      </w:r>
      <w:r w:rsidRPr="00EA07F3">
        <w:br/>
        <w:t xml:space="preserve">This process began with maceration by mixing </w:t>
      </w:r>
      <w:proofErr w:type="spellStart"/>
      <w:r w:rsidRPr="00EA07F3">
        <w:t>simplicia</w:t>
      </w:r>
      <w:proofErr w:type="spellEnd"/>
      <w:r w:rsidRPr="00EA07F3">
        <w:t xml:space="preserve"> with methanol in a beaker and stirring until evenly moist but not submerged. The mixture was left for 3 hours in a closed condition. A percolator tube was prepared and fitted with filter paper and cotton to hold the </w:t>
      </w:r>
      <w:proofErr w:type="spellStart"/>
      <w:r w:rsidRPr="00EA07F3">
        <w:t>simplicia</w:t>
      </w:r>
      <w:proofErr w:type="spellEnd"/>
      <w:r w:rsidRPr="00EA07F3">
        <w:t xml:space="preserve">. The macerated </w:t>
      </w:r>
      <w:proofErr w:type="spellStart"/>
      <w:r w:rsidRPr="00EA07F3">
        <w:t>simplicia</w:t>
      </w:r>
      <w:proofErr w:type="spellEnd"/>
      <w:r w:rsidRPr="00EA07F3">
        <w:t xml:space="preserve"> was then transferred into the percolator, and methanol was slowly added until it began to drip, maintaining a solvent layer of 1–2 cm above the </w:t>
      </w:r>
      <w:proofErr w:type="spellStart"/>
      <w:r w:rsidRPr="00EA07F3">
        <w:t>simplicia</w:t>
      </w:r>
      <w:proofErr w:type="spellEnd"/>
      <w:r w:rsidRPr="00EA07F3">
        <w:t xml:space="preserve">. The percolator was sealed with plastic to prevent solvent evaporation and allowed to stand for 24 hours. After that, the percolator tap was opened gradually to allow the extract to drip at a rate of 1–3 mL/min. The solvent was continuously added to maintain the 1–2 cm solvent level above the </w:t>
      </w:r>
      <w:proofErr w:type="spellStart"/>
      <w:r w:rsidRPr="00EA07F3">
        <w:t>simplicia</w:t>
      </w:r>
      <w:proofErr w:type="spellEnd"/>
      <w:r w:rsidRPr="00EA07F3">
        <w:t xml:space="preserve">. The percolation process was continued until extraction was complete, as indicated by the </w:t>
      </w:r>
      <w:proofErr w:type="spellStart"/>
      <w:r w:rsidRPr="00EA07F3">
        <w:t>color</w:t>
      </w:r>
      <w:proofErr w:type="spellEnd"/>
      <w:r w:rsidRPr="00EA07F3">
        <w:t xml:space="preserve"> of the percolate changing from dark yellow to </w:t>
      </w:r>
      <w:proofErr w:type="spellStart"/>
      <w:r w:rsidRPr="00EA07F3">
        <w:t>colorless</w:t>
      </w:r>
      <w:proofErr w:type="spellEnd"/>
      <w:r w:rsidRPr="00EA07F3">
        <w:t>.</w:t>
      </w:r>
    </w:p>
    <w:p w14:paraId="6D1B4F14" w14:textId="5071DD4C" w:rsidR="00EA07F3" w:rsidRPr="00EA07F3" w:rsidRDefault="00EA07F3" w:rsidP="00EA07F3">
      <w:pPr>
        <w:spacing w:before="100" w:beforeAutospacing="1" w:after="100" w:afterAutospacing="1"/>
      </w:pPr>
      <w:r w:rsidRPr="00EA07F3">
        <w:rPr>
          <w:b/>
          <w:bCs/>
        </w:rPr>
        <w:t>Evaporation</w:t>
      </w:r>
      <w:r w:rsidRPr="00EA07F3">
        <w:br/>
        <w:t xml:space="preserve">The percolated extract was collected in a measuring cylinder. A portion of the extract was evaporated using a </w:t>
      </w:r>
      <w:proofErr w:type="spellStart"/>
      <w:r w:rsidRPr="00EA07F3">
        <w:t>Heidolph</w:t>
      </w:r>
      <w:proofErr w:type="spellEnd"/>
      <w:r w:rsidRPr="00EA07F3">
        <w:t xml:space="preserve"> rotary evaporator to separate the methanol and obtain a concentrated extract. A small portion of the extract was reserved for phytochemical screening.</w:t>
      </w:r>
    </w:p>
    <w:p w14:paraId="4BB5AE32" w14:textId="64492213" w:rsidR="00EA07F3" w:rsidRPr="00EA07F3" w:rsidRDefault="00EA07F3" w:rsidP="00EA07F3">
      <w:pPr>
        <w:spacing w:before="100" w:beforeAutospacing="1" w:after="100" w:afterAutospacing="1"/>
        <w:outlineLvl w:val="3"/>
        <w:rPr>
          <w:b/>
          <w:bCs/>
          <w:sz w:val="30"/>
          <w:szCs w:val="30"/>
        </w:rPr>
      </w:pPr>
      <w:r w:rsidRPr="00EA07F3">
        <w:rPr>
          <w:b/>
          <w:bCs/>
          <w:sz w:val="30"/>
          <w:szCs w:val="30"/>
        </w:rPr>
        <w:t xml:space="preserve">3. </w:t>
      </w:r>
      <w:r w:rsidRPr="00EA07F3">
        <w:rPr>
          <w:b/>
          <w:bCs/>
          <w:sz w:val="30"/>
          <w:szCs w:val="30"/>
        </w:rPr>
        <w:t>Phytochemical Screening</w:t>
      </w:r>
    </w:p>
    <w:p w14:paraId="13E89EA4" w14:textId="64AD27B7" w:rsidR="00EA07F3" w:rsidRPr="00EA07F3" w:rsidRDefault="00EA07F3" w:rsidP="00EA07F3">
      <w:pPr>
        <w:spacing w:before="100" w:beforeAutospacing="1" w:after="100" w:afterAutospacing="1"/>
      </w:pPr>
      <w:r w:rsidRPr="00EA07F3">
        <w:rPr>
          <w:b/>
          <w:bCs/>
        </w:rPr>
        <w:t>Alkaloids</w:t>
      </w:r>
      <w:r w:rsidRPr="00EA07F3">
        <w:br/>
        <w:t xml:space="preserve">One </w:t>
      </w:r>
      <w:proofErr w:type="spellStart"/>
      <w:r w:rsidRPr="00EA07F3">
        <w:t>milliliter</w:t>
      </w:r>
      <w:proofErr w:type="spellEnd"/>
      <w:r w:rsidRPr="00EA07F3">
        <w:t xml:space="preserve"> of yellow wood root extract was mixed with 1 mL of 1% HCl in a test tube, heated, and divided into two separate test tubes. Two drops of Mayer’s reagent were added to one tube, and two drops of </w:t>
      </w:r>
      <w:proofErr w:type="spellStart"/>
      <w:r w:rsidRPr="00EA07F3">
        <w:t>Dragendorff’s</w:t>
      </w:r>
      <w:proofErr w:type="spellEnd"/>
      <w:r w:rsidRPr="00EA07F3">
        <w:t xml:space="preserve"> reagent to the other. Another 1 mL of extract was used as a control. The presence of alkaloids was confirmed by the formation of a precipitate or turbidity.</w:t>
      </w:r>
    </w:p>
    <w:p w14:paraId="5E1AB153" w14:textId="61D97823" w:rsidR="00EA07F3" w:rsidRPr="00EA07F3" w:rsidRDefault="00EA07F3" w:rsidP="00EA07F3">
      <w:pPr>
        <w:spacing w:before="100" w:beforeAutospacing="1" w:after="100" w:afterAutospacing="1"/>
      </w:pPr>
      <w:r w:rsidRPr="00EA07F3">
        <w:rPr>
          <w:b/>
          <w:bCs/>
        </w:rPr>
        <w:t>Steroids</w:t>
      </w:r>
      <w:r w:rsidRPr="00EA07F3">
        <w:br/>
        <w:t xml:space="preserve">One </w:t>
      </w:r>
      <w:proofErr w:type="spellStart"/>
      <w:r w:rsidRPr="00EA07F3">
        <w:t>milliliter</w:t>
      </w:r>
      <w:proofErr w:type="spellEnd"/>
      <w:r w:rsidRPr="00EA07F3">
        <w:t xml:space="preserve"> of the extract was mixed with 2 mL of chloroform in two separate petri dishes and </w:t>
      </w:r>
      <w:r w:rsidRPr="00EA07F3">
        <w:lastRenderedPageBreak/>
        <w:t xml:space="preserve">allowed to dry. After drying, 1 mL of glacial acetic acid (CH₃COOH) was added and mixed. One dish was used as a control, and one drop of sulfuric acid (H₂SO₄) was added to the other without mixing. A positive result was indicated by the formation of a bluish-green </w:t>
      </w:r>
      <w:proofErr w:type="spellStart"/>
      <w:r w:rsidRPr="00EA07F3">
        <w:t>color</w:t>
      </w:r>
      <w:proofErr w:type="spellEnd"/>
      <w:r w:rsidRPr="00EA07F3">
        <w:t>.</w:t>
      </w:r>
    </w:p>
    <w:p w14:paraId="41119C63" w14:textId="6EE2BCB1" w:rsidR="00EA07F3" w:rsidRPr="00EA07F3" w:rsidRDefault="00EA07F3" w:rsidP="00EA07F3">
      <w:pPr>
        <w:spacing w:before="100" w:beforeAutospacing="1" w:after="100" w:afterAutospacing="1"/>
      </w:pPr>
      <w:r w:rsidRPr="00EA07F3">
        <w:rPr>
          <w:b/>
          <w:bCs/>
        </w:rPr>
        <w:t>Terpenoids</w:t>
      </w:r>
      <w:r w:rsidRPr="00EA07F3">
        <w:br/>
        <w:t xml:space="preserve">One </w:t>
      </w:r>
      <w:proofErr w:type="spellStart"/>
      <w:r w:rsidRPr="00EA07F3">
        <w:t>milliliter</w:t>
      </w:r>
      <w:proofErr w:type="spellEnd"/>
      <w:r w:rsidRPr="00EA07F3">
        <w:t xml:space="preserve"> of extract was mixed with 2 mL of chloroform in two petri dishes, then dried. One was used as a control, and sulfuric acid (H₂SO₄) was added to the other without mixing. A reddish-pink or reddish-brown ring indicated a positive result for terpenoids.</w:t>
      </w:r>
    </w:p>
    <w:p w14:paraId="5BA956A2" w14:textId="0B6DB44F" w:rsidR="00EA07F3" w:rsidRPr="00EA07F3" w:rsidRDefault="00EA07F3" w:rsidP="00EA07F3">
      <w:pPr>
        <w:spacing w:before="100" w:beforeAutospacing="1" w:after="100" w:afterAutospacing="1"/>
      </w:pPr>
      <w:r w:rsidRPr="00EA07F3">
        <w:rPr>
          <w:b/>
          <w:bCs/>
        </w:rPr>
        <w:t>Phenols</w:t>
      </w:r>
      <w:r w:rsidRPr="00EA07F3">
        <w:br/>
        <w:t xml:space="preserve">One </w:t>
      </w:r>
      <w:proofErr w:type="spellStart"/>
      <w:r w:rsidRPr="00EA07F3">
        <w:t>milliliter</w:t>
      </w:r>
      <w:proofErr w:type="spellEnd"/>
      <w:r w:rsidRPr="00EA07F3">
        <w:t xml:space="preserve"> of extract was mixed with 2 mL of distilled water, then 0.5 mL of sodium carbonate (</w:t>
      </w:r>
      <w:proofErr w:type="spellStart"/>
      <w:r w:rsidRPr="00EA07F3">
        <w:t>Na₂CO</w:t>
      </w:r>
      <w:proofErr w:type="spellEnd"/>
      <w:r w:rsidRPr="00EA07F3">
        <w:t>₃) and 0.5 mL of Folin-</w:t>
      </w:r>
      <w:proofErr w:type="spellStart"/>
      <w:r w:rsidRPr="00EA07F3">
        <w:t>Ciocalteu</w:t>
      </w:r>
      <w:proofErr w:type="spellEnd"/>
      <w:r w:rsidRPr="00EA07F3">
        <w:t xml:space="preserve"> reagent were added. A separate 1 mL of extract was used as a control. A blue or green </w:t>
      </w:r>
      <w:proofErr w:type="spellStart"/>
      <w:r w:rsidRPr="00EA07F3">
        <w:t>color</w:t>
      </w:r>
      <w:proofErr w:type="spellEnd"/>
      <w:r w:rsidRPr="00EA07F3">
        <w:t xml:space="preserve"> indicated the presence of phenolic compounds.</w:t>
      </w:r>
    </w:p>
    <w:p w14:paraId="0A6D686F" w14:textId="0AAB04A8" w:rsidR="00EA07F3" w:rsidRPr="00EA07F3" w:rsidRDefault="00EA07F3" w:rsidP="00EA07F3">
      <w:pPr>
        <w:spacing w:before="100" w:beforeAutospacing="1" w:after="100" w:afterAutospacing="1"/>
      </w:pPr>
      <w:r w:rsidRPr="00EA07F3">
        <w:rPr>
          <w:b/>
          <w:bCs/>
        </w:rPr>
        <w:t>Quinones</w:t>
      </w:r>
      <w:r w:rsidRPr="00EA07F3">
        <w:br/>
        <w:t xml:space="preserve">One </w:t>
      </w:r>
      <w:proofErr w:type="spellStart"/>
      <w:r w:rsidRPr="00EA07F3">
        <w:t>milliliter</w:t>
      </w:r>
      <w:proofErr w:type="spellEnd"/>
      <w:r w:rsidRPr="00EA07F3">
        <w:t xml:space="preserve"> of extract was mixed with 1 mL of sulfuric acid (H₂SO₄) in a test tube. Another 1 mL of extract was used as a control. The formation of a red ring indicated the presence of quinones.</w:t>
      </w:r>
    </w:p>
    <w:p w14:paraId="224C2D2A" w14:textId="5DDE5F38" w:rsidR="00EA07F3" w:rsidRPr="00EA07F3" w:rsidRDefault="00EA07F3" w:rsidP="00EA07F3">
      <w:pPr>
        <w:spacing w:before="100" w:beforeAutospacing="1" w:after="100" w:afterAutospacing="1"/>
      </w:pPr>
      <w:r w:rsidRPr="00EA07F3">
        <w:rPr>
          <w:b/>
          <w:bCs/>
        </w:rPr>
        <w:t>Saponins</w:t>
      </w:r>
      <w:r w:rsidRPr="00EA07F3">
        <w:br/>
        <w:t>A total of 0.5 grams of extract was mixed with 2 mL of hot distilled water in a test tube, then shaken thoroughly. A separate 1 mL of extract was used as a control. The formation of foam on the surface indicated the presence of saponins.</w:t>
      </w:r>
    </w:p>
    <w:p w14:paraId="5F6D58A2" w14:textId="36F7DE68" w:rsidR="00EA07F3" w:rsidRPr="00EA07F3" w:rsidRDefault="00EA07F3" w:rsidP="00EA07F3">
      <w:pPr>
        <w:spacing w:before="100" w:beforeAutospacing="1" w:after="100" w:afterAutospacing="1"/>
      </w:pPr>
      <w:r w:rsidRPr="00EA07F3">
        <w:rPr>
          <w:b/>
          <w:bCs/>
        </w:rPr>
        <w:t>Tannins</w:t>
      </w:r>
      <w:r w:rsidRPr="00EA07F3">
        <w:br/>
        <w:t xml:space="preserve">A total of 0.5 grams of extract was heated with 2 mL of distilled water in a test tube, then filtered. One </w:t>
      </w:r>
      <w:proofErr w:type="spellStart"/>
      <w:r w:rsidRPr="00EA07F3">
        <w:t>milliliter</w:t>
      </w:r>
      <w:proofErr w:type="spellEnd"/>
      <w:r w:rsidRPr="00EA07F3">
        <w:t xml:space="preserve"> of 5% ferric chloride (</w:t>
      </w:r>
      <w:proofErr w:type="spellStart"/>
      <w:r w:rsidRPr="00EA07F3">
        <w:t>FeCl</w:t>
      </w:r>
      <w:proofErr w:type="spellEnd"/>
      <w:r w:rsidRPr="00EA07F3">
        <w:t xml:space="preserve">₃) was added to the filtrate. Another 1 mL of extract was used as a control. The presence of tannins was confirmed by a greenish-brown </w:t>
      </w:r>
      <w:proofErr w:type="spellStart"/>
      <w:r w:rsidRPr="00EA07F3">
        <w:t>color</w:t>
      </w:r>
      <w:proofErr w:type="spellEnd"/>
      <w:r w:rsidRPr="00EA07F3">
        <w:t>.</w:t>
      </w:r>
    </w:p>
    <w:p w14:paraId="00EE176C" w14:textId="5E1C074F" w:rsidR="00EA07F3" w:rsidRPr="00EA07F3" w:rsidRDefault="00EA07F3" w:rsidP="00EA07F3">
      <w:pPr>
        <w:spacing w:before="100" w:beforeAutospacing="1" w:after="100" w:afterAutospacing="1"/>
      </w:pPr>
      <w:r w:rsidRPr="00EA07F3">
        <w:rPr>
          <w:b/>
          <w:bCs/>
        </w:rPr>
        <w:t>Coumarins</w:t>
      </w:r>
      <w:r w:rsidRPr="00EA07F3">
        <w:br/>
        <w:t>Filter paper was moistened with a few drops of 1 N sodium hydroxide (NaOH), then dried. A few drops of extract were added to the dried paper and dried again. The filter paper was then observed under UV light using a CAMAG TLC Visualizer. A yellow fluorescence indicated the presence of coumarins.</w:t>
      </w:r>
    </w:p>
    <w:p w14:paraId="4905322C" w14:textId="74513F22" w:rsidR="00EA07F3" w:rsidRPr="00EA07F3" w:rsidRDefault="00EA07F3" w:rsidP="00EA07F3">
      <w:pPr>
        <w:spacing w:before="100" w:beforeAutospacing="1" w:after="100" w:afterAutospacing="1"/>
      </w:pPr>
      <w:r w:rsidRPr="00EA07F3">
        <w:rPr>
          <w:b/>
          <w:bCs/>
        </w:rPr>
        <w:t xml:space="preserve">Anthocyanins and </w:t>
      </w:r>
      <w:proofErr w:type="spellStart"/>
      <w:r w:rsidRPr="00EA07F3">
        <w:rPr>
          <w:b/>
          <w:bCs/>
        </w:rPr>
        <w:t>Betacyanins</w:t>
      </w:r>
      <w:proofErr w:type="spellEnd"/>
      <w:r w:rsidRPr="00EA07F3">
        <w:br/>
        <w:t xml:space="preserve">Two </w:t>
      </w:r>
      <w:proofErr w:type="spellStart"/>
      <w:r w:rsidRPr="00EA07F3">
        <w:t>milliliters</w:t>
      </w:r>
      <w:proofErr w:type="spellEnd"/>
      <w:r w:rsidRPr="00EA07F3">
        <w:t xml:space="preserve"> of extract were mixed with 2 N sodium hydroxide (NaOH) and heated in a test tube at 100°C for 5 minutes. Another 1 mL of extract was used as a control. A bluish-green </w:t>
      </w:r>
      <w:proofErr w:type="spellStart"/>
      <w:r w:rsidRPr="00EA07F3">
        <w:t>color</w:t>
      </w:r>
      <w:proofErr w:type="spellEnd"/>
      <w:r w:rsidRPr="00EA07F3">
        <w:t xml:space="preserve"> indicated the presence of anthocyanins, while a yellow </w:t>
      </w:r>
      <w:proofErr w:type="spellStart"/>
      <w:r w:rsidRPr="00EA07F3">
        <w:t>color</w:t>
      </w:r>
      <w:proofErr w:type="spellEnd"/>
      <w:r w:rsidRPr="00EA07F3">
        <w:t xml:space="preserve"> indicated the presence of </w:t>
      </w:r>
      <w:proofErr w:type="spellStart"/>
      <w:r w:rsidRPr="00EA07F3">
        <w:t>betacyanins</w:t>
      </w:r>
      <w:proofErr w:type="spellEnd"/>
      <w:r w:rsidRPr="00EA07F3">
        <w:t>.</w:t>
      </w:r>
    </w:p>
    <w:p w14:paraId="676294B4" w14:textId="6BEFE898" w:rsidR="00EA07F3" w:rsidRPr="00EA07F3" w:rsidRDefault="00EA07F3" w:rsidP="00EA07F3">
      <w:pPr>
        <w:spacing w:before="100" w:beforeAutospacing="1" w:after="100" w:afterAutospacing="1"/>
      </w:pPr>
      <w:r w:rsidRPr="00EA07F3">
        <w:rPr>
          <w:b/>
          <w:bCs/>
        </w:rPr>
        <w:t>Cardiac Glycosides</w:t>
      </w:r>
      <w:r w:rsidRPr="00EA07F3">
        <w:br/>
        <w:t xml:space="preserve">One </w:t>
      </w:r>
      <w:proofErr w:type="spellStart"/>
      <w:r w:rsidRPr="00EA07F3">
        <w:t>milliliter</w:t>
      </w:r>
      <w:proofErr w:type="spellEnd"/>
      <w:r w:rsidRPr="00EA07F3">
        <w:t xml:space="preserve"> of extract was mixed with 2 mL of glacial acetic acid (CH₃COOH), followed by a few drops of 5% </w:t>
      </w:r>
      <w:proofErr w:type="spellStart"/>
      <w:r w:rsidRPr="00EA07F3">
        <w:t>FeCl</w:t>
      </w:r>
      <w:proofErr w:type="spellEnd"/>
      <w:r w:rsidRPr="00EA07F3">
        <w:t xml:space="preserve">₃. The solution was then layered with 1 mL of concentrated sulfuric acid </w:t>
      </w:r>
      <w:r w:rsidRPr="00EA07F3">
        <w:lastRenderedPageBreak/>
        <w:t>(H₂SO₄). Another 1 mL of extract was used as a control. A brown ring at the interface indicated a positive result for cardiac glycosides.</w:t>
      </w:r>
    </w:p>
    <w:p w14:paraId="4BEFB713" w14:textId="6DBB08FA" w:rsidR="00EA07F3" w:rsidRPr="00EA07F3" w:rsidRDefault="00EA07F3" w:rsidP="00EA07F3">
      <w:pPr>
        <w:spacing w:before="100" w:beforeAutospacing="1" w:after="100" w:afterAutospacing="1"/>
      </w:pPr>
      <w:r w:rsidRPr="00EA07F3">
        <w:rPr>
          <w:b/>
          <w:bCs/>
        </w:rPr>
        <w:t>Flavonoids</w:t>
      </w:r>
      <w:r w:rsidRPr="00EA07F3">
        <w:br/>
        <w:t xml:space="preserve">Three </w:t>
      </w:r>
      <w:proofErr w:type="spellStart"/>
      <w:r w:rsidRPr="00EA07F3">
        <w:t>milliliters</w:t>
      </w:r>
      <w:proofErr w:type="spellEnd"/>
      <w:r w:rsidRPr="00EA07F3">
        <w:t xml:space="preserve"> of extract were mixed with 4 mL of 1 N NaOH in a test tube. A separate 1 mL of extract was used as a control. A dark yellow </w:t>
      </w:r>
      <w:proofErr w:type="spellStart"/>
      <w:r w:rsidRPr="00EA07F3">
        <w:t>color</w:t>
      </w:r>
      <w:proofErr w:type="spellEnd"/>
      <w:r w:rsidRPr="00EA07F3">
        <w:t xml:space="preserve"> indicated the presence of flavonoids.</w:t>
      </w:r>
    </w:p>
    <w:p w14:paraId="464F2D24" w14:textId="3B543F1B" w:rsidR="00EA07F3" w:rsidRDefault="00EA07F3" w:rsidP="00EA07F3">
      <w:pPr>
        <w:spacing w:before="100" w:beforeAutospacing="1" w:after="100" w:afterAutospacing="1"/>
      </w:pPr>
      <w:r w:rsidRPr="00EA07F3">
        <w:rPr>
          <w:b/>
          <w:bCs/>
        </w:rPr>
        <w:t>Glycosides</w:t>
      </w:r>
      <w:r w:rsidRPr="00EA07F3">
        <w:br/>
        <w:t xml:space="preserve">Two </w:t>
      </w:r>
      <w:proofErr w:type="spellStart"/>
      <w:r w:rsidRPr="00EA07F3">
        <w:t>milliliters</w:t>
      </w:r>
      <w:proofErr w:type="spellEnd"/>
      <w:r w:rsidRPr="00EA07F3">
        <w:t xml:space="preserve"> of extract were mixed with 3 mL of chloroform (</w:t>
      </w:r>
      <w:proofErr w:type="spellStart"/>
      <w:r w:rsidRPr="00EA07F3">
        <w:t>CHCl</w:t>
      </w:r>
      <w:proofErr w:type="spellEnd"/>
      <w:r w:rsidRPr="00EA07F3">
        <w:t xml:space="preserve">₃), followed by 1 mL of 10% ammonium solution (NH₄) in a test tube. A separate 1 mL of extract was used as a control. The appearance of a pink </w:t>
      </w:r>
      <w:proofErr w:type="spellStart"/>
      <w:r w:rsidRPr="00EA07F3">
        <w:t>color</w:t>
      </w:r>
      <w:proofErr w:type="spellEnd"/>
      <w:r w:rsidRPr="00EA07F3">
        <w:t xml:space="preserve"> indicated the presence of glycosides.</w:t>
      </w:r>
    </w:p>
    <w:p w14:paraId="0623C762" w14:textId="377D6A7B" w:rsidR="00EA07F3" w:rsidRPr="00EA07F3" w:rsidRDefault="00EA07F3" w:rsidP="00EA07F3">
      <w:pPr>
        <w:spacing w:before="100" w:beforeAutospacing="1" w:after="100" w:afterAutospacing="1"/>
        <w:outlineLvl w:val="2"/>
        <w:rPr>
          <w:b/>
          <w:bCs/>
          <w:sz w:val="30"/>
          <w:szCs w:val="30"/>
        </w:rPr>
      </w:pPr>
      <w:r w:rsidRPr="00EA07F3">
        <w:rPr>
          <w:b/>
          <w:bCs/>
          <w:sz w:val="30"/>
          <w:szCs w:val="30"/>
        </w:rPr>
        <w:t xml:space="preserve">4. </w:t>
      </w:r>
      <w:r w:rsidRPr="00EA07F3">
        <w:rPr>
          <w:b/>
          <w:bCs/>
          <w:sz w:val="30"/>
          <w:szCs w:val="30"/>
        </w:rPr>
        <w:t>Total Antioxidant Capacity Test Using Ferric Reducing Antioxidant Power (FRAP) Method</w:t>
      </w:r>
    </w:p>
    <w:p w14:paraId="25A4B62C" w14:textId="77777777" w:rsidR="00EA07F3" w:rsidRPr="00EA07F3" w:rsidRDefault="00EA07F3" w:rsidP="00EA07F3">
      <w:pPr>
        <w:spacing w:before="100" w:beforeAutospacing="1" w:after="100" w:afterAutospacing="1"/>
        <w:outlineLvl w:val="3"/>
        <w:rPr>
          <w:b/>
          <w:bCs/>
        </w:rPr>
      </w:pPr>
      <w:r w:rsidRPr="00EA07F3">
        <w:rPr>
          <w:b/>
          <w:bCs/>
        </w:rPr>
        <w:t>Preparation of FRAP Reagent</w:t>
      </w:r>
    </w:p>
    <w:p w14:paraId="3AED78F9" w14:textId="77777777" w:rsidR="00EA07F3" w:rsidRPr="00EA07F3" w:rsidRDefault="00EA07F3" w:rsidP="00EA07F3">
      <w:pPr>
        <w:spacing w:before="100" w:beforeAutospacing="1" w:after="100" w:afterAutospacing="1"/>
      </w:pPr>
      <w:r w:rsidRPr="00EA07F3">
        <w:t>In a 250 mL volumetric flask, 187 mg of sodium acetate trihydrate and 16 mL of acetic acid were mixed, then distilled water (</w:t>
      </w:r>
      <w:proofErr w:type="spellStart"/>
      <w:r w:rsidRPr="00EA07F3">
        <w:t>aquadest</w:t>
      </w:r>
      <w:proofErr w:type="spellEnd"/>
      <w:r w:rsidRPr="00EA07F3">
        <w:t xml:space="preserve">) was added to reach a total volume of 250 </w:t>
      </w:r>
      <w:proofErr w:type="spellStart"/>
      <w:r w:rsidRPr="00EA07F3">
        <w:t>mL.</w:t>
      </w:r>
      <w:proofErr w:type="spellEnd"/>
      <w:r w:rsidRPr="00EA07F3">
        <w:t xml:space="preserve"> In a separate 100 mL volumetric flask, 270 mg of </w:t>
      </w:r>
      <w:proofErr w:type="spellStart"/>
      <w:r w:rsidRPr="00EA07F3">
        <w:t>FeCl</w:t>
      </w:r>
      <w:proofErr w:type="spellEnd"/>
      <w:r w:rsidRPr="00EA07F3">
        <w:t xml:space="preserve">₃·6H₂O was dissolved in distilled water to a final volume of 100 </w:t>
      </w:r>
      <w:proofErr w:type="spellStart"/>
      <w:r w:rsidRPr="00EA07F3">
        <w:t>mL.</w:t>
      </w:r>
      <w:proofErr w:type="spellEnd"/>
      <w:r w:rsidRPr="00EA07F3">
        <w:t xml:space="preserve"> In another 50 mL volumetric flask, 150 mg of TPTZ powder was dissolved in 40 mM HCl until the volume reached 50 </w:t>
      </w:r>
      <w:proofErr w:type="spellStart"/>
      <w:r w:rsidRPr="00EA07F3">
        <w:t>mL.</w:t>
      </w:r>
      <w:proofErr w:type="spellEnd"/>
      <w:r w:rsidRPr="00EA07F3">
        <w:t xml:space="preserve"> Next, 25 mL of the sodium acetate solution, 2.5 mL of </w:t>
      </w:r>
      <w:proofErr w:type="spellStart"/>
      <w:r w:rsidRPr="00EA07F3">
        <w:t>FeCl</w:t>
      </w:r>
      <w:proofErr w:type="spellEnd"/>
      <w:r w:rsidRPr="00EA07F3">
        <w:t>₃·6H₂O solution, and 2.5 mL of TPTZ solution were combined in a 100 mL volumetric flask. These three solutions were then mixed and diluted with distilled water to a final volume of 100 mL and homogenized.</w:t>
      </w:r>
    </w:p>
    <w:p w14:paraId="4346AAC5" w14:textId="77777777" w:rsidR="00EA07F3" w:rsidRPr="00EA07F3" w:rsidRDefault="00EA07F3" w:rsidP="00EA07F3">
      <w:pPr>
        <w:spacing w:before="100" w:beforeAutospacing="1" w:after="100" w:afterAutospacing="1"/>
        <w:outlineLvl w:val="3"/>
        <w:rPr>
          <w:b/>
          <w:bCs/>
        </w:rPr>
      </w:pPr>
      <w:r w:rsidRPr="00EA07F3">
        <w:rPr>
          <w:b/>
          <w:bCs/>
        </w:rPr>
        <w:t>Measurement of Control Absorbance</w:t>
      </w:r>
    </w:p>
    <w:p w14:paraId="091217E5" w14:textId="77777777" w:rsidR="00EA07F3" w:rsidRPr="00EA07F3" w:rsidRDefault="00EA07F3" w:rsidP="00EA07F3">
      <w:pPr>
        <w:spacing w:before="100" w:beforeAutospacing="1" w:after="100" w:afterAutospacing="1"/>
      </w:pPr>
      <w:r w:rsidRPr="00EA07F3">
        <w:t>A volume of 1.5 mL of the FRAP reagent was mixed with 0.5 mL of methanol, homogenized, and incubated for 10 minutes at 37°C. The absorbance of the control was then measured at a wavelength of 594 nm using a Genesys 30-Vis spectrophotometer.</w:t>
      </w:r>
    </w:p>
    <w:p w14:paraId="162B54E1" w14:textId="77777777" w:rsidR="00EA07F3" w:rsidRPr="00EA07F3" w:rsidRDefault="00EA07F3" w:rsidP="00EA07F3">
      <w:pPr>
        <w:spacing w:before="100" w:beforeAutospacing="1" w:after="100" w:afterAutospacing="1"/>
        <w:outlineLvl w:val="3"/>
        <w:rPr>
          <w:b/>
          <w:bCs/>
        </w:rPr>
      </w:pPr>
      <w:r w:rsidRPr="00EA07F3">
        <w:rPr>
          <w:b/>
          <w:bCs/>
        </w:rPr>
        <w:t>Preparation of Trolox Standard Solutions</w:t>
      </w:r>
    </w:p>
    <w:p w14:paraId="1764076B" w14:textId="77777777" w:rsidR="00EA07F3" w:rsidRPr="00EA07F3" w:rsidRDefault="00EA07F3" w:rsidP="00EA07F3">
      <w:pPr>
        <w:spacing w:before="100" w:beforeAutospacing="1" w:after="100" w:afterAutospacing="1"/>
      </w:pPr>
      <w:r w:rsidRPr="00EA07F3">
        <w:t xml:space="preserve">Trolox was prepared in concentrations of 5 </w:t>
      </w:r>
      <w:proofErr w:type="spellStart"/>
      <w:r w:rsidRPr="00EA07F3">
        <w:t>μg</w:t>
      </w:r>
      <w:proofErr w:type="spellEnd"/>
      <w:r w:rsidRPr="00EA07F3">
        <w:t xml:space="preserve">/mL, 10 </w:t>
      </w:r>
      <w:proofErr w:type="spellStart"/>
      <w:r w:rsidRPr="00EA07F3">
        <w:t>μg</w:t>
      </w:r>
      <w:proofErr w:type="spellEnd"/>
      <w:r w:rsidRPr="00EA07F3">
        <w:t xml:space="preserve">/mL, 15 </w:t>
      </w:r>
      <w:proofErr w:type="spellStart"/>
      <w:r w:rsidRPr="00EA07F3">
        <w:t>μg</w:t>
      </w:r>
      <w:proofErr w:type="spellEnd"/>
      <w:r w:rsidRPr="00EA07F3">
        <w:t xml:space="preserve">/mL, 20 </w:t>
      </w:r>
      <w:proofErr w:type="spellStart"/>
      <w:r w:rsidRPr="00EA07F3">
        <w:t>μg</w:t>
      </w:r>
      <w:proofErr w:type="spellEnd"/>
      <w:r w:rsidRPr="00EA07F3">
        <w:t xml:space="preserve">/mL, and 25 </w:t>
      </w:r>
      <w:proofErr w:type="spellStart"/>
      <w:r w:rsidRPr="00EA07F3">
        <w:t>μg</w:t>
      </w:r>
      <w:proofErr w:type="spellEnd"/>
      <w:r w:rsidRPr="00EA07F3">
        <w:t>/mL in test tubes to be used as standard antioxidants. Each Trolox solution was mixed with FRAP reagent in a ratio of 1:3 (1 mL Trolox solution and 3 mL FRAP reagent), homogenized, and incubated for 10 minutes at 37°C. This procedure was repeated in triplicate. The absorbance was measured at the maximum wavelength using a Genesys 30-Vis spectrophotometer, and a standard curve was created.</w:t>
      </w:r>
    </w:p>
    <w:p w14:paraId="737D58E1" w14:textId="77777777" w:rsidR="00EA07F3" w:rsidRPr="00EA07F3" w:rsidRDefault="00EA07F3" w:rsidP="00EA07F3">
      <w:pPr>
        <w:spacing w:before="100" w:beforeAutospacing="1" w:after="100" w:afterAutospacing="1"/>
        <w:outlineLvl w:val="3"/>
        <w:rPr>
          <w:b/>
          <w:bCs/>
        </w:rPr>
      </w:pPr>
      <w:r w:rsidRPr="00EA07F3">
        <w:rPr>
          <w:b/>
          <w:bCs/>
        </w:rPr>
        <w:t>Determination of the Antioxidant Activity of Yellow Wood Root Extract</w:t>
      </w:r>
    </w:p>
    <w:p w14:paraId="2AC794BE" w14:textId="77777777" w:rsidR="00EA07F3" w:rsidRPr="00EA07F3" w:rsidRDefault="00EA07F3" w:rsidP="00EA07F3">
      <w:pPr>
        <w:spacing w:before="100" w:beforeAutospacing="1" w:after="100" w:afterAutospacing="1"/>
      </w:pPr>
      <w:r w:rsidRPr="00EA07F3">
        <w:t xml:space="preserve">A total of 0.02 grams of yellow wood root extract was dissolved in 10 mL of distilled water in a measuring cylinder and homogenized. The solution was then diluted to concentrations of 10 </w:t>
      </w:r>
      <w:proofErr w:type="spellStart"/>
      <w:r w:rsidRPr="00EA07F3">
        <w:t>μg</w:t>
      </w:r>
      <w:proofErr w:type="spellEnd"/>
      <w:r w:rsidRPr="00EA07F3">
        <w:t xml:space="preserve">/mL, 15 </w:t>
      </w:r>
      <w:proofErr w:type="spellStart"/>
      <w:r w:rsidRPr="00EA07F3">
        <w:t>μg</w:t>
      </w:r>
      <w:proofErr w:type="spellEnd"/>
      <w:r w:rsidRPr="00EA07F3">
        <w:t xml:space="preserve">/mL, 20 </w:t>
      </w:r>
      <w:proofErr w:type="spellStart"/>
      <w:r w:rsidRPr="00EA07F3">
        <w:t>μg</w:t>
      </w:r>
      <w:proofErr w:type="spellEnd"/>
      <w:r w:rsidRPr="00EA07F3">
        <w:t xml:space="preserve">/mL, 25 </w:t>
      </w:r>
      <w:proofErr w:type="spellStart"/>
      <w:r w:rsidRPr="00EA07F3">
        <w:t>μg</w:t>
      </w:r>
      <w:proofErr w:type="spellEnd"/>
      <w:r w:rsidRPr="00EA07F3">
        <w:t xml:space="preserve">/mL, and 30 </w:t>
      </w:r>
      <w:proofErr w:type="spellStart"/>
      <w:r w:rsidRPr="00EA07F3">
        <w:t>μg</w:t>
      </w:r>
      <w:proofErr w:type="spellEnd"/>
      <w:r w:rsidRPr="00EA07F3">
        <w:t>/</w:t>
      </w:r>
      <w:proofErr w:type="spellStart"/>
      <w:r w:rsidRPr="00EA07F3">
        <w:t>mL.</w:t>
      </w:r>
      <w:proofErr w:type="spellEnd"/>
      <w:r w:rsidRPr="00EA07F3">
        <w:t xml:space="preserve"> Each concentration of the sample was </w:t>
      </w:r>
      <w:r w:rsidRPr="00EA07F3">
        <w:lastRenderedPageBreak/>
        <w:t>mixed with the FRAP reagent in a 1:3 ratio (1 mL extract and 3 mL FRAP reagent), homogenized, and incubated for 10 minutes at 37°C. This procedure was also performed in triplicate. The absorbance was measured using a Genesys 30-Vis spectrophotometer at the maximum wavelength, and a standard curve was plotted for the extract.</w:t>
      </w:r>
    </w:p>
    <w:p w14:paraId="3C69AF90" w14:textId="3AA4F5AD" w:rsidR="00EA07F3" w:rsidRPr="00EA07F3" w:rsidRDefault="00EA07F3" w:rsidP="00EA07F3">
      <w:pPr>
        <w:spacing w:before="100" w:beforeAutospacing="1" w:after="100" w:afterAutospacing="1"/>
      </w:pPr>
      <w:r w:rsidRPr="00EA07F3">
        <w:t>The antioxidant activity of the yellow wood root extract was determined using the following inhibition percentage formula:</w:t>
      </w:r>
    </w:p>
    <w:p w14:paraId="6D3E2F06" w14:textId="145CAE0F" w:rsidR="00EA07F3" w:rsidRPr="00EA07F3" w:rsidRDefault="00EA07F3" w:rsidP="00EA07F3">
      <w:pPr>
        <w:spacing w:line="360" w:lineRule="auto"/>
        <w:jc w:val="center"/>
        <w:rPr>
          <w:bCs/>
          <w:kern w:val="2"/>
          <w14:ligatures w14:val="standardContextual"/>
        </w:rPr>
      </w:pPr>
      <w:r>
        <w:rPr>
          <w:bCs/>
        </w:rPr>
        <w:t>Inhibition Percentage</w:t>
      </w:r>
      <w:r w:rsidRPr="00A176F2">
        <w:rPr>
          <w:bCs/>
        </w:rPr>
        <w:t xml:space="preserve"> (%) = </w:t>
      </w:r>
      <m:oMath>
        <m:f>
          <m:fPr>
            <m:ctrlPr>
              <w:rPr>
                <w:rFonts w:ascii="Cambria Math" w:hAnsi="Cambria Math"/>
                <w:bCs/>
                <w:i/>
              </w:rPr>
            </m:ctrlPr>
          </m:fPr>
          <m:num>
            <m:r>
              <w:rPr>
                <w:rFonts w:ascii="Cambria Math" w:hAnsi="Cambria Math"/>
              </w:rPr>
              <m:t>Abs.Uji</m:t>
            </m:r>
            <m:d>
              <m:dPr>
                <m:ctrlPr>
                  <w:rPr>
                    <w:rFonts w:ascii="Cambria Math" w:hAnsi="Cambria Math"/>
                    <w:bCs/>
                    <w:i/>
                  </w:rPr>
                </m:ctrlPr>
              </m:dPr>
              <m:e>
                <m:r>
                  <w:rPr>
                    <w:rFonts w:ascii="Cambria Math" w:hAnsi="Cambria Math"/>
                  </w:rPr>
                  <m:t>λ</m:t>
                </m:r>
              </m:e>
            </m:d>
            <m:r>
              <w:rPr>
                <w:rFonts w:ascii="Cambria Math" w:hAnsi="Cambria Math"/>
              </w:rPr>
              <m:t>-Abs. Kontrol(λ)</m:t>
            </m:r>
          </m:num>
          <m:den>
            <m:r>
              <w:rPr>
                <w:rFonts w:ascii="Cambria Math" w:hAnsi="Cambria Math"/>
              </w:rPr>
              <m:t xml:space="preserve">Abs.Uji </m:t>
            </m:r>
            <m:d>
              <m:dPr>
                <m:ctrlPr>
                  <w:rPr>
                    <w:rFonts w:ascii="Cambria Math" w:hAnsi="Cambria Math"/>
                    <w:bCs/>
                    <w:i/>
                  </w:rPr>
                </m:ctrlPr>
              </m:dPr>
              <m:e>
                <m:r>
                  <w:rPr>
                    <w:rFonts w:ascii="Cambria Math" w:hAnsi="Cambria Math"/>
                  </w:rPr>
                  <m:t>λ</m:t>
                </m:r>
              </m:e>
            </m:d>
          </m:den>
        </m:f>
        <m:r>
          <w:rPr>
            <w:rFonts w:ascii="Cambria Math" w:hAnsi="Cambria Math"/>
          </w:rPr>
          <m:t xml:space="preserve"> × 100%</m:t>
        </m:r>
      </m:oMath>
    </w:p>
    <w:p w14:paraId="4FF539B4" w14:textId="6A5580E1" w:rsidR="00EA07F3" w:rsidRPr="00EA07F3" w:rsidRDefault="00EA07F3" w:rsidP="00EA07F3">
      <w:pPr>
        <w:spacing w:before="100" w:beforeAutospacing="1" w:after="100" w:afterAutospacing="1"/>
      </w:pPr>
      <w:r w:rsidRPr="00EA07F3">
        <w:rPr>
          <w:b/>
          <w:bCs/>
        </w:rPr>
        <w:t>Notes:</w:t>
      </w:r>
    </w:p>
    <w:p w14:paraId="0DB38696" w14:textId="77777777" w:rsidR="00EA07F3" w:rsidRPr="00EA07F3" w:rsidRDefault="00EA07F3" w:rsidP="00EA07F3">
      <w:pPr>
        <w:numPr>
          <w:ilvl w:val="0"/>
          <w:numId w:val="2"/>
        </w:numPr>
        <w:spacing w:before="100" w:beforeAutospacing="1" w:after="100" w:afterAutospacing="1"/>
      </w:pPr>
      <w:r w:rsidRPr="00EA07F3">
        <w:rPr>
          <w:b/>
          <w:bCs/>
        </w:rPr>
        <w:t>Abs. Control</w:t>
      </w:r>
      <w:r w:rsidRPr="00EA07F3">
        <w:t xml:space="preserve"> = Absorbance of control</w:t>
      </w:r>
    </w:p>
    <w:p w14:paraId="3B3ED3F4" w14:textId="77777777" w:rsidR="00EA07F3" w:rsidRPr="00EA07F3" w:rsidRDefault="00EA07F3" w:rsidP="00EA07F3">
      <w:pPr>
        <w:numPr>
          <w:ilvl w:val="0"/>
          <w:numId w:val="2"/>
        </w:numPr>
        <w:spacing w:before="100" w:beforeAutospacing="1" w:after="100" w:afterAutospacing="1"/>
      </w:pPr>
      <w:r w:rsidRPr="00EA07F3">
        <w:rPr>
          <w:b/>
          <w:bCs/>
        </w:rPr>
        <w:t>Abs. Sample</w:t>
      </w:r>
      <w:r w:rsidRPr="00EA07F3">
        <w:t xml:space="preserve"> = Absorbance of sample</w:t>
      </w:r>
    </w:p>
    <w:p w14:paraId="5BE6052D" w14:textId="61637183" w:rsidR="00EA07F3" w:rsidRDefault="00EA07F3" w:rsidP="00EA07F3">
      <w:pPr>
        <w:spacing w:before="100" w:beforeAutospacing="1" w:after="100" w:afterAutospacing="1"/>
      </w:pPr>
      <w:r w:rsidRPr="00EA07F3">
        <w:t xml:space="preserve">The </w:t>
      </w:r>
      <w:r w:rsidRPr="00EA07F3">
        <w:rPr>
          <w:b/>
          <w:bCs/>
        </w:rPr>
        <w:t>Inhibitory Concentration (IC₅₀)</w:t>
      </w:r>
      <w:r w:rsidRPr="00EA07F3">
        <w:t xml:space="preserve"> value is defined as the concentration of antioxidant required to reduce Fe ion activity by 50%. The IC₅₀ value was calculated using the linear regression equation </w:t>
      </w:r>
      <w:r w:rsidRPr="00EA07F3">
        <w:rPr>
          <w:i/>
          <w:iCs/>
        </w:rPr>
        <w:t xml:space="preserve">y = </w:t>
      </w:r>
      <w:proofErr w:type="spellStart"/>
      <w:r w:rsidRPr="00EA07F3">
        <w:rPr>
          <w:i/>
          <w:iCs/>
        </w:rPr>
        <w:t>ax</w:t>
      </w:r>
      <w:proofErr w:type="spellEnd"/>
      <w:r w:rsidRPr="00EA07F3">
        <w:rPr>
          <w:i/>
          <w:iCs/>
        </w:rPr>
        <w:t xml:space="preserve"> + b</w:t>
      </w:r>
      <w:r w:rsidRPr="00EA07F3">
        <w:t xml:space="preserve">, where </w:t>
      </w:r>
      <w:r w:rsidRPr="00EA07F3">
        <w:rPr>
          <w:i/>
          <w:iCs/>
        </w:rPr>
        <w:t>y</w:t>
      </w:r>
      <w:r w:rsidRPr="00EA07F3">
        <w:t xml:space="preserve"> represents the percentage of reducing activity, and </w:t>
      </w:r>
      <w:r w:rsidRPr="00EA07F3">
        <w:rPr>
          <w:i/>
          <w:iCs/>
        </w:rPr>
        <w:t>x</w:t>
      </w:r>
      <w:r w:rsidRPr="00EA07F3">
        <w:t xml:space="preserve"> represents the antioxidant concentration (</w:t>
      </w:r>
      <w:proofErr w:type="spellStart"/>
      <w:r w:rsidRPr="00EA07F3">
        <w:t>μg</w:t>
      </w:r>
      <w:proofErr w:type="spellEnd"/>
      <w:r w:rsidRPr="00EA07F3">
        <w:t xml:space="preserve">/mL). The value of </w:t>
      </w:r>
      <w:r w:rsidRPr="00EA07F3">
        <w:rPr>
          <w:i/>
          <w:iCs/>
        </w:rPr>
        <w:t>y</w:t>
      </w:r>
      <w:r w:rsidRPr="00EA07F3">
        <w:t xml:space="preserve"> was set to 50 to calculate the corresponding </w:t>
      </w:r>
      <w:r w:rsidRPr="00EA07F3">
        <w:rPr>
          <w:i/>
          <w:iCs/>
        </w:rPr>
        <w:t>x</w:t>
      </w:r>
      <w:r w:rsidRPr="00EA07F3">
        <w:t xml:space="preserve"> value, which represents the IC₅₀.</w:t>
      </w:r>
    </w:p>
    <w:p w14:paraId="7B7B554C" w14:textId="77777777" w:rsidR="00EA07F3" w:rsidRDefault="00EA07F3" w:rsidP="00EA07F3">
      <w:pPr>
        <w:spacing w:before="100" w:beforeAutospacing="1" w:after="100" w:afterAutospacing="1"/>
      </w:pPr>
    </w:p>
    <w:tbl>
      <w:tblPr>
        <w:tblStyle w:val="TableGrid"/>
        <w:tblW w:w="0" w:type="auto"/>
        <w:tblLook w:val="04A0" w:firstRow="1" w:lastRow="0" w:firstColumn="1" w:lastColumn="0" w:noHBand="0" w:noVBand="1"/>
      </w:tblPr>
      <w:tblGrid>
        <w:gridCol w:w="1364"/>
        <w:gridCol w:w="1226"/>
        <w:gridCol w:w="1227"/>
        <w:gridCol w:w="1227"/>
        <w:gridCol w:w="1230"/>
        <w:gridCol w:w="1239"/>
        <w:gridCol w:w="1242"/>
      </w:tblGrid>
      <w:tr w:rsidR="00EA07F3" w:rsidRPr="00A176F2" w14:paraId="09C93AC8" w14:textId="77777777" w:rsidTr="00E611F6">
        <w:tc>
          <w:tcPr>
            <w:tcW w:w="8755" w:type="dxa"/>
            <w:gridSpan w:val="7"/>
            <w:tcBorders>
              <w:top w:val="nil"/>
              <w:left w:val="nil"/>
              <w:bottom w:val="single" w:sz="4" w:space="0" w:color="auto"/>
              <w:right w:val="nil"/>
            </w:tcBorders>
          </w:tcPr>
          <w:p w14:paraId="49D4F509"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Tabel </w:t>
            </w:r>
            <w:proofErr w:type="spellStart"/>
            <w:r w:rsidRPr="00A176F2">
              <w:rPr>
                <w:color w:val="000000" w:themeColor="text1"/>
                <w:sz w:val="24"/>
                <w:szCs w:val="24"/>
              </w:rPr>
              <w:t>Absorbansi</w:t>
            </w:r>
            <w:proofErr w:type="spellEnd"/>
            <w:r w:rsidRPr="00A176F2">
              <w:rPr>
                <w:color w:val="000000" w:themeColor="text1"/>
                <w:sz w:val="24"/>
                <w:szCs w:val="24"/>
              </w:rPr>
              <w:t xml:space="preserve"> dan Hasil Uji FRAP </w:t>
            </w:r>
            <w:proofErr w:type="spellStart"/>
            <w:r w:rsidRPr="00A176F2">
              <w:rPr>
                <w:color w:val="000000" w:themeColor="text1"/>
                <w:sz w:val="24"/>
                <w:szCs w:val="24"/>
              </w:rPr>
              <w:t>Ekstrak</w:t>
            </w:r>
            <w:proofErr w:type="spellEnd"/>
            <w:r w:rsidRPr="00A176F2">
              <w:rPr>
                <w:color w:val="000000" w:themeColor="text1"/>
                <w:sz w:val="24"/>
                <w:szCs w:val="24"/>
              </w:rPr>
              <w:t xml:space="preserve"> Akar Kayu Kuning</w:t>
            </w:r>
          </w:p>
        </w:tc>
      </w:tr>
      <w:tr w:rsidR="00EA07F3" w:rsidRPr="00A176F2" w14:paraId="71EB7CA8" w14:textId="77777777" w:rsidTr="00E611F6">
        <w:tc>
          <w:tcPr>
            <w:tcW w:w="1364" w:type="dxa"/>
            <w:tcBorders>
              <w:top w:val="single" w:sz="4" w:space="0" w:color="auto"/>
              <w:left w:val="nil"/>
              <w:bottom w:val="single" w:sz="4" w:space="0" w:color="auto"/>
              <w:right w:val="nil"/>
            </w:tcBorders>
          </w:tcPr>
          <w:p w14:paraId="07E0BC56" w14:textId="77777777" w:rsidR="00EA07F3" w:rsidRPr="00A176F2" w:rsidRDefault="00EA07F3" w:rsidP="00E611F6">
            <w:pPr>
              <w:spacing w:line="360" w:lineRule="auto"/>
              <w:jc w:val="center"/>
              <w:rPr>
                <w:color w:val="000000" w:themeColor="text1"/>
                <w:sz w:val="24"/>
                <w:szCs w:val="24"/>
              </w:rPr>
            </w:pPr>
            <w:proofErr w:type="spellStart"/>
            <w:r w:rsidRPr="00A176F2">
              <w:rPr>
                <w:color w:val="000000" w:themeColor="text1"/>
                <w:sz w:val="24"/>
                <w:szCs w:val="24"/>
              </w:rPr>
              <w:t>Konsentrasi</w:t>
            </w:r>
            <w:proofErr w:type="spellEnd"/>
            <w:r w:rsidRPr="00A176F2">
              <w:rPr>
                <w:color w:val="000000" w:themeColor="text1"/>
                <w:sz w:val="24"/>
                <w:szCs w:val="24"/>
              </w:rPr>
              <w:t xml:space="preserve"> </w:t>
            </w:r>
            <w:proofErr w:type="spellStart"/>
            <w:r w:rsidRPr="00A176F2">
              <w:rPr>
                <w:color w:val="000000" w:themeColor="text1"/>
                <w:sz w:val="24"/>
                <w:szCs w:val="24"/>
              </w:rPr>
              <w:t>Ekstrak</w:t>
            </w:r>
            <w:proofErr w:type="spellEnd"/>
          </w:p>
        </w:tc>
        <w:tc>
          <w:tcPr>
            <w:tcW w:w="1226" w:type="dxa"/>
            <w:tcBorders>
              <w:top w:val="single" w:sz="4" w:space="0" w:color="auto"/>
              <w:left w:val="nil"/>
              <w:bottom w:val="single" w:sz="4" w:space="0" w:color="auto"/>
              <w:right w:val="nil"/>
            </w:tcBorders>
          </w:tcPr>
          <w:p w14:paraId="53A5F320"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Abs. A</w:t>
            </w:r>
          </w:p>
        </w:tc>
        <w:tc>
          <w:tcPr>
            <w:tcW w:w="1227" w:type="dxa"/>
            <w:tcBorders>
              <w:top w:val="single" w:sz="4" w:space="0" w:color="auto"/>
              <w:left w:val="nil"/>
              <w:bottom w:val="single" w:sz="4" w:space="0" w:color="auto"/>
              <w:right w:val="nil"/>
            </w:tcBorders>
          </w:tcPr>
          <w:p w14:paraId="206D0232"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Abs. B</w:t>
            </w:r>
          </w:p>
        </w:tc>
        <w:tc>
          <w:tcPr>
            <w:tcW w:w="1227" w:type="dxa"/>
            <w:tcBorders>
              <w:top w:val="single" w:sz="4" w:space="0" w:color="auto"/>
              <w:left w:val="nil"/>
              <w:bottom w:val="single" w:sz="4" w:space="0" w:color="auto"/>
              <w:right w:val="nil"/>
            </w:tcBorders>
          </w:tcPr>
          <w:p w14:paraId="10F9FD67"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Abs. C</w:t>
            </w:r>
          </w:p>
        </w:tc>
        <w:tc>
          <w:tcPr>
            <w:tcW w:w="1230" w:type="dxa"/>
            <w:tcBorders>
              <w:top w:val="single" w:sz="4" w:space="0" w:color="auto"/>
              <w:left w:val="nil"/>
              <w:bottom w:val="single" w:sz="4" w:space="0" w:color="auto"/>
              <w:right w:val="nil"/>
            </w:tcBorders>
          </w:tcPr>
          <w:p w14:paraId="617B0599"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Abs. Rata-rata</w:t>
            </w:r>
          </w:p>
        </w:tc>
        <w:tc>
          <w:tcPr>
            <w:tcW w:w="1239" w:type="dxa"/>
            <w:tcBorders>
              <w:top w:val="single" w:sz="4" w:space="0" w:color="auto"/>
              <w:left w:val="nil"/>
              <w:bottom w:val="single" w:sz="4" w:space="0" w:color="auto"/>
              <w:right w:val="nil"/>
            </w:tcBorders>
          </w:tcPr>
          <w:p w14:paraId="4792ACBA"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 </w:t>
            </w:r>
          </w:p>
          <w:p w14:paraId="60F935DB" w14:textId="77777777" w:rsidR="00EA07F3" w:rsidRPr="00A176F2" w:rsidRDefault="00EA07F3" w:rsidP="00E611F6">
            <w:pPr>
              <w:spacing w:line="360" w:lineRule="auto"/>
              <w:jc w:val="center"/>
              <w:rPr>
                <w:color w:val="000000" w:themeColor="text1"/>
                <w:sz w:val="24"/>
                <w:szCs w:val="24"/>
              </w:rPr>
            </w:pPr>
            <w:proofErr w:type="spellStart"/>
            <w:r w:rsidRPr="00A176F2">
              <w:rPr>
                <w:color w:val="000000" w:themeColor="text1"/>
                <w:sz w:val="24"/>
                <w:szCs w:val="24"/>
              </w:rPr>
              <w:t>Inhibisi</w:t>
            </w:r>
            <w:proofErr w:type="spellEnd"/>
          </w:p>
        </w:tc>
        <w:tc>
          <w:tcPr>
            <w:tcW w:w="1242" w:type="dxa"/>
            <w:tcBorders>
              <w:top w:val="single" w:sz="4" w:space="0" w:color="auto"/>
              <w:left w:val="nil"/>
              <w:bottom w:val="single" w:sz="4" w:space="0" w:color="auto"/>
              <w:right w:val="nil"/>
            </w:tcBorders>
          </w:tcPr>
          <w:p w14:paraId="53940E0A" w14:textId="77777777" w:rsidR="00EA07F3" w:rsidRPr="00A176F2" w:rsidRDefault="00EA07F3" w:rsidP="00E611F6">
            <w:pPr>
              <w:spacing w:line="360" w:lineRule="auto"/>
              <w:jc w:val="center"/>
              <w:rPr>
                <w:color w:val="000000" w:themeColor="text1"/>
                <w:sz w:val="24"/>
                <w:szCs w:val="24"/>
              </w:rPr>
            </w:pPr>
            <w:r w:rsidRPr="00A176F2">
              <w:rPr>
                <w:bCs/>
                <w:sz w:val="24"/>
                <w:szCs w:val="24"/>
              </w:rPr>
              <w:t>IC</w:t>
            </w:r>
            <w:r w:rsidRPr="00A176F2">
              <w:rPr>
                <w:bCs/>
                <w:sz w:val="24"/>
                <w:szCs w:val="24"/>
                <w:vertAlign w:val="subscript"/>
              </w:rPr>
              <w:t xml:space="preserve">50 </w:t>
            </w:r>
            <w:r w:rsidRPr="00A176F2">
              <w:rPr>
                <w:bCs/>
                <w:sz w:val="24"/>
                <w:szCs w:val="24"/>
              </w:rPr>
              <w:t>(</w:t>
            </w:r>
            <w:proofErr w:type="spellStart"/>
            <w:r w:rsidRPr="00A176F2">
              <w:rPr>
                <w:bCs/>
                <w:sz w:val="24"/>
                <w:szCs w:val="24"/>
              </w:rPr>
              <w:t>μg</w:t>
            </w:r>
            <w:proofErr w:type="spellEnd"/>
            <w:r w:rsidRPr="00A176F2">
              <w:rPr>
                <w:bCs/>
                <w:sz w:val="24"/>
                <w:szCs w:val="24"/>
              </w:rPr>
              <w:t>/mL)</w:t>
            </w:r>
          </w:p>
        </w:tc>
      </w:tr>
      <w:tr w:rsidR="00EA07F3" w:rsidRPr="00A176F2" w14:paraId="3022EE2A" w14:textId="77777777" w:rsidTr="00E611F6">
        <w:tc>
          <w:tcPr>
            <w:tcW w:w="1364" w:type="dxa"/>
            <w:tcBorders>
              <w:top w:val="single" w:sz="4" w:space="0" w:color="auto"/>
              <w:left w:val="nil"/>
              <w:bottom w:val="nil"/>
              <w:right w:val="nil"/>
            </w:tcBorders>
            <w:vAlign w:val="center"/>
          </w:tcPr>
          <w:p w14:paraId="721A2FDD"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10</w:t>
            </w:r>
          </w:p>
        </w:tc>
        <w:tc>
          <w:tcPr>
            <w:tcW w:w="1226" w:type="dxa"/>
            <w:tcBorders>
              <w:top w:val="single" w:sz="4" w:space="0" w:color="auto"/>
              <w:left w:val="nil"/>
              <w:bottom w:val="nil"/>
              <w:right w:val="nil"/>
            </w:tcBorders>
          </w:tcPr>
          <w:p w14:paraId="71AB34A2"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0,112</w:t>
            </w:r>
          </w:p>
        </w:tc>
        <w:tc>
          <w:tcPr>
            <w:tcW w:w="1227" w:type="dxa"/>
            <w:tcBorders>
              <w:top w:val="single" w:sz="4" w:space="0" w:color="auto"/>
              <w:left w:val="nil"/>
              <w:bottom w:val="nil"/>
              <w:right w:val="nil"/>
            </w:tcBorders>
          </w:tcPr>
          <w:p w14:paraId="500F14B9"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0,109</w:t>
            </w:r>
          </w:p>
        </w:tc>
        <w:tc>
          <w:tcPr>
            <w:tcW w:w="1227" w:type="dxa"/>
            <w:tcBorders>
              <w:top w:val="single" w:sz="4" w:space="0" w:color="auto"/>
              <w:left w:val="nil"/>
              <w:bottom w:val="nil"/>
              <w:right w:val="nil"/>
            </w:tcBorders>
          </w:tcPr>
          <w:p w14:paraId="6D9AF05F"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0,106</w:t>
            </w:r>
          </w:p>
        </w:tc>
        <w:tc>
          <w:tcPr>
            <w:tcW w:w="1230" w:type="dxa"/>
            <w:tcBorders>
              <w:top w:val="single" w:sz="4" w:space="0" w:color="auto"/>
              <w:left w:val="nil"/>
              <w:bottom w:val="nil"/>
              <w:right w:val="nil"/>
            </w:tcBorders>
            <w:vAlign w:val="center"/>
          </w:tcPr>
          <w:p w14:paraId="6C044D51"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0,109</w:t>
            </w:r>
          </w:p>
        </w:tc>
        <w:tc>
          <w:tcPr>
            <w:tcW w:w="1239" w:type="dxa"/>
            <w:tcBorders>
              <w:top w:val="single" w:sz="4" w:space="0" w:color="auto"/>
              <w:left w:val="nil"/>
              <w:bottom w:val="nil"/>
              <w:right w:val="nil"/>
            </w:tcBorders>
            <w:vAlign w:val="center"/>
          </w:tcPr>
          <w:p w14:paraId="7C171056"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37,615</w:t>
            </w:r>
          </w:p>
        </w:tc>
        <w:tc>
          <w:tcPr>
            <w:tcW w:w="1242" w:type="dxa"/>
            <w:vMerge w:val="restart"/>
            <w:tcBorders>
              <w:top w:val="single" w:sz="4" w:space="0" w:color="auto"/>
              <w:left w:val="nil"/>
              <w:right w:val="nil"/>
            </w:tcBorders>
            <w:vAlign w:val="center"/>
          </w:tcPr>
          <w:p w14:paraId="1BDAB372"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17,48</w:t>
            </w:r>
          </w:p>
        </w:tc>
      </w:tr>
      <w:tr w:rsidR="00EA07F3" w:rsidRPr="00A176F2" w14:paraId="68396902" w14:textId="77777777" w:rsidTr="00E611F6">
        <w:tc>
          <w:tcPr>
            <w:tcW w:w="1364" w:type="dxa"/>
            <w:tcBorders>
              <w:top w:val="nil"/>
              <w:left w:val="nil"/>
              <w:bottom w:val="nil"/>
              <w:right w:val="nil"/>
            </w:tcBorders>
            <w:vAlign w:val="center"/>
          </w:tcPr>
          <w:p w14:paraId="47177B41"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15</w:t>
            </w:r>
          </w:p>
        </w:tc>
        <w:tc>
          <w:tcPr>
            <w:tcW w:w="1226" w:type="dxa"/>
            <w:tcBorders>
              <w:top w:val="nil"/>
              <w:left w:val="nil"/>
              <w:bottom w:val="nil"/>
              <w:right w:val="nil"/>
            </w:tcBorders>
          </w:tcPr>
          <w:p w14:paraId="6AE036B7"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0,121</w:t>
            </w:r>
          </w:p>
        </w:tc>
        <w:tc>
          <w:tcPr>
            <w:tcW w:w="1227" w:type="dxa"/>
            <w:tcBorders>
              <w:top w:val="nil"/>
              <w:left w:val="nil"/>
              <w:bottom w:val="nil"/>
              <w:right w:val="nil"/>
            </w:tcBorders>
          </w:tcPr>
          <w:p w14:paraId="369FFCF9"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0,126</w:t>
            </w:r>
          </w:p>
        </w:tc>
        <w:tc>
          <w:tcPr>
            <w:tcW w:w="1227" w:type="dxa"/>
            <w:tcBorders>
              <w:top w:val="nil"/>
              <w:left w:val="nil"/>
              <w:bottom w:val="nil"/>
              <w:right w:val="nil"/>
            </w:tcBorders>
          </w:tcPr>
          <w:p w14:paraId="32B8A4EA"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0,128</w:t>
            </w:r>
          </w:p>
        </w:tc>
        <w:tc>
          <w:tcPr>
            <w:tcW w:w="1230" w:type="dxa"/>
            <w:tcBorders>
              <w:top w:val="nil"/>
              <w:left w:val="nil"/>
              <w:bottom w:val="nil"/>
              <w:right w:val="nil"/>
            </w:tcBorders>
            <w:vAlign w:val="center"/>
          </w:tcPr>
          <w:p w14:paraId="709B7148"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0,125</w:t>
            </w:r>
          </w:p>
        </w:tc>
        <w:tc>
          <w:tcPr>
            <w:tcW w:w="1239" w:type="dxa"/>
            <w:tcBorders>
              <w:top w:val="nil"/>
              <w:left w:val="nil"/>
              <w:bottom w:val="nil"/>
              <w:right w:val="nil"/>
            </w:tcBorders>
            <w:vAlign w:val="center"/>
          </w:tcPr>
          <w:p w14:paraId="1655D3EA"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45,600</w:t>
            </w:r>
          </w:p>
        </w:tc>
        <w:tc>
          <w:tcPr>
            <w:tcW w:w="1242" w:type="dxa"/>
            <w:vMerge/>
            <w:tcBorders>
              <w:left w:val="nil"/>
              <w:right w:val="nil"/>
            </w:tcBorders>
          </w:tcPr>
          <w:p w14:paraId="75AF7C1D" w14:textId="77777777" w:rsidR="00EA07F3" w:rsidRPr="00A176F2" w:rsidRDefault="00EA07F3" w:rsidP="00E611F6">
            <w:pPr>
              <w:spacing w:line="360" w:lineRule="auto"/>
              <w:jc w:val="center"/>
              <w:rPr>
                <w:color w:val="000000" w:themeColor="text1"/>
                <w:sz w:val="24"/>
                <w:szCs w:val="24"/>
              </w:rPr>
            </w:pPr>
          </w:p>
        </w:tc>
      </w:tr>
      <w:tr w:rsidR="00EA07F3" w:rsidRPr="00A176F2" w14:paraId="43279922" w14:textId="77777777" w:rsidTr="00E611F6">
        <w:tc>
          <w:tcPr>
            <w:tcW w:w="1364" w:type="dxa"/>
            <w:tcBorders>
              <w:top w:val="nil"/>
              <w:left w:val="nil"/>
              <w:bottom w:val="nil"/>
              <w:right w:val="nil"/>
            </w:tcBorders>
            <w:vAlign w:val="center"/>
          </w:tcPr>
          <w:p w14:paraId="7D7E50F5"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20</w:t>
            </w:r>
          </w:p>
        </w:tc>
        <w:tc>
          <w:tcPr>
            <w:tcW w:w="1226" w:type="dxa"/>
            <w:tcBorders>
              <w:top w:val="nil"/>
              <w:left w:val="nil"/>
              <w:bottom w:val="nil"/>
              <w:right w:val="nil"/>
            </w:tcBorders>
          </w:tcPr>
          <w:p w14:paraId="71F4C209"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0,152</w:t>
            </w:r>
          </w:p>
        </w:tc>
        <w:tc>
          <w:tcPr>
            <w:tcW w:w="1227" w:type="dxa"/>
            <w:tcBorders>
              <w:top w:val="nil"/>
              <w:left w:val="nil"/>
              <w:bottom w:val="nil"/>
              <w:right w:val="nil"/>
            </w:tcBorders>
          </w:tcPr>
          <w:p w14:paraId="55C4B6D9"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0,157</w:t>
            </w:r>
          </w:p>
        </w:tc>
        <w:tc>
          <w:tcPr>
            <w:tcW w:w="1227" w:type="dxa"/>
            <w:tcBorders>
              <w:top w:val="nil"/>
              <w:left w:val="nil"/>
              <w:bottom w:val="nil"/>
              <w:right w:val="nil"/>
            </w:tcBorders>
          </w:tcPr>
          <w:p w14:paraId="76A78C1A"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0,162</w:t>
            </w:r>
          </w:p>
        </w:tc>
        <w:tc>
          <w:tcPr>
            <w:tcW w:w="1230" w:type="dxa"/>
            <w:tcBorders>
              <w:top w:val="nil"/>
              <w:left w:val="nil"/>
              <w:bottom w:val="nil"/>
              <w:right w:val="nil"/>
            </w:tcBorders>
            <w:vAlign w:val="center"/>
          </w:tcPr>
          <w:p w14:paraId="14B6C985"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0,157</w:t>
            </w:r>
          </w:p>
        </w:tc>
        <w:tc>
          <w:tcPr>
            <w:tcW w:w="1239" w:type="dxa"/>
            <w:tcBorders>
              <w:top w:val="nil"/>
              <w:left w:val="nil"/>
              <w:bottom w:val="nil"/>
              <w:right w:val="nil"/>
            </w:tcBorders>
            <w:vAlign w:val="center"/>
          </w:tcPr>
          <w:p w14:paraId="435DA166"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56,688</w:t>
            </w:r>
          </w:p>
        </w:tc>
        <w:tc>
          <w:tcPr>
            <w:tcW w:w="1242" w:type="dxa"/>
            <w:vMerge/>
            <w:tcBorders>
              <w:left w:val="nil"/>
              <w:right w:val="nil"/>
            </w:tcBorders>
            <w:vAlign w:val="center"/>
          </w:tcPr>
          <w:p w14:paraId="7A0594BA" w14:textId="77777777" w:rsidR="00EA07F3" w:rsidRPr="00A176F2" w:rsidRDefault="00EA07F3" w:rsidP="00E611F6">
            <w:pPr>
              <w:spacing w:line="360" w:lineRule="auto"/>
              <w:jc w:val="center"/>
              <w:rPr>
                <w:color w:val="000000" w:themeColor="text1"/>
                <w:sz w:val="24"/>
                <w:szCs w:val="24"/>
              </w:rPr>
            </w:pPr>
          </w:p>
        </w:tc>
      </w:tr>
      <w:tr w:rsidR="00EA07F3" w:rsidRPr="00A176F2" w14:paraId="4D860994" w14:textId="77777777" w:rsidTr="00E611F6">
        <w:tc>
          <w:tcPr>
            <w:tcW w:w="1364" w:type="dxa"/>
            <w:tcBorders>
              <w:top w:val="nil"/>
              <w:left w:val="nil"/>
              <w:bottom w:val="nil"/>
              <w:right w:val="nil"/>
            </w:tcBorders>
            <w:vAlign w:val="center"/>
          </w:tcPr>
          <w:p w14:paraId="612A870A"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25</w:t>
            </w:r>
          </w:p>
        </w:tc>
        <w:tc>
          <w:tcPr>
            <w:tcW w:w="1226" w:type="dxa"/>
            <w:tcBorders>
              <w:top w:val="nil"/>
              <w:left w:val="nil"/>
              <w:bottom w:val="nil"/>
              <w:right w:val="nil"/>
            </w:tcBorders>
          </w:tcPr>
          <w:p w14:paraId="378B74BB"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0,165</w:t>
            </w:r>
          </w:p>
        </w:tc>
        <w:tc>
          <w:tcPr>
            <w:tcW w:w="1227" w:type="dxa"/>
            <w:tcBorders>
              <w:top w:val="nil"/>
              <w:left w:val="nil"/>
              <w:bottom w:val="nil"/>
              <w:right w:val="nil"/>
            </w:tcBorders>
          </w:tcPr>
          <w:p w14:paraId="7C0A0B90"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0,170</w:t>
            </w:r>
          </w:p>
        </w:tc>
        <w:tc>
          <w:tcPr>
            <w:tcW w:w="1227" w:type="dxa"/>
            <w:tcBorders>
              <w:top w:val="nil"/>
              <w:left w:val="nil"/>
              <w:bottom w:val="nil"/>
              <w:right w:val="nil"/>
            </w:tcBorders>
          </w:tcPr>
          <w:p w14:paraId="286A8727"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0,175</w:t>
            </w:r>
          </w:p>
        </w:tc>
        <w:tc>
          <w:tcPr>
            <w:tcW w:w="1230" w:type="dxa"/>
            <w:tcBorders>
              <w:top w:val="nil"/>
              <w:left w:val="nil"/>
              <w:bottom w:val="nil"/>
              <w:right w:val="nil"/>
            </w:tcBorders>
            <w:vAlign w:val="center"/>
          </w:tcPr>
          <w:p w14:paraId="19CFB5F7"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0,170</w:t>
            </w:r>
          </w:p>
        </w:tc>
        <w:tc>
          <w:tcPr>
            <w:tcW w:w="1239" w:type="dxa"/>
            <w:tcBorders>
              <w:top w:val="nil"/>
              <w:left w:val="nil"/>
              <w:bottom w:val="nil"/>
              <w:right w:val="nil"/>
            </w:tcBorders>
            <w:vAlign w:val="center"/>
          </w:tcPr>
          <w:p w14:paraId="5084938E"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60,000</w:t>
            </w:r>
          </w:p>
        </w:tc>
        <w:tc>
          <w:tcPr>
            <w:tcW w:w="1242" w:type="dxa"/>
            <w:vMerge/>
            <w:tcBorders>
              <w:left w:val="nil"/>
              <w:right w:val="nil"/>
            </w:tcBorders>
          </w:tcPr>
          <w:p w14:paraId="091D8BBA" w14:textId="77777777" w:rsidR="00EA07F3" w:rsidRPr="00A176F2" w:rsidRDefault="00EA07F3" w:rsidP="00E611F6">
            <w:pPr>
              <w:spacing w:line="360" w:lineRule="auto"/>
              <w:jc w:val="center"/>
              <w:rPr>
                <w:color w:val="000000" w:themeColor="text1"/>
                <w:sz w:val="24"/>
                <w:szCs w:val="24"/>
              </w:rPr>
            </w:pPr>
          </w:p>
        </w:tc>
      </w:tr>
      <w:tr w:rsidR="00EA07F3" w:rsidRPr="00A176F2" w14:paraId="47C0CED1" w14:textId="77777777" w:rsidTr="00E611F6">
        <w:tc>
          <w:tcPr>
            <w:tcW w:w="1364" w:type="dxa"/>
            <w:tcBorders>
              <w:top w:val="nil"/>
              <w:left w:val="nil"/>
              <w:bottom w:val="single" w:sz="4" w:space="0" w:color="auto"/>
              <w:right w:val="nil"/>
            </w:tcBorders>
            <w:vAlign w:val="center"/>
          </w:tcPr>
          <w:p w14:paraId="2A2A56A6"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30</w:t>
            </w:r>
          </w:p>
        </w:tc>
        <w:tc>
          <w:tcPr>
            <w:tcW w:w="1226" w:type="dxa"/>
            <w:tcBorders>
              <w:top w:val="nil"/>
              <w:left w:val="nil"/>
              <w:bottom w:val="single" w:sz="4" w:space="0" w:color="auto"/>
              <w:right w:val="nil"/>
            </w:tcBorders>
          </w:tcPr>
          <w:p w14:paraId="354AD6A7"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0,223</w:t>
            </w:r>
          </w:p>
        </w:tc>
        <w:tc>
          <w:tcPr>
            <w:tcW w:w="1227" w:type="dxa"/>
            <w:tcBorders>
              <w:top w:val="nil"/>
              <w:left w:val="nil"/>
              <w:bottom w:val="single" w:sz="4" w:space="0" w:color="auto"/>
              <w:right w:val="nil"/>
            </w:tcBorders>
          </w:tcPr>
          <w:p w14:paraId="13198EED"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0,228</w:t>
            </w:r>
          </w:p>
        </w:tc>
        <w:tc>
          <w:tcPr>
            <w:tcW w:w="1227" w:type="dxa"/>
            <w:tcBorders>
              <w:top w:val="nil"/>
              <w:left w:val="nil"/>
              <w:bottom w:val="single" w:sz="4" w:space="0" w:color="auto"/>
              <w:right w:val="nil"/>
            </w:tcBorders>
          </w:tcPr>
          <w:p w14:paraId="568CCDCC"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0,233</w:t>
            </w:r>
          </w:p>
        </w:tc>
        <w:tc>
          <w:tcPr>
            <w:tcW w:w="1230" w:type="dxa"/>
            <w:tcBorders>
              <w:top w:val="nil"/>
              <w:left w:val="nil"/>
              <w:bottom w:val="single" w:sz="4" w:space="0" w:color="auto"/>
              <w:right w:val="nil"/>
            </w:tcBorders>
            <w:vAlign w:val="center"/>
          </w:tcPr>
          <w:p w14:paraId="72BFF1AF"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0,228</w:t>
            </w:r>
          </w:p>
        </w:tc>
        <w:tc>
          <w:tcPr>
            <w:tcW w:w="1239" w:type="dxa"/>
            <w:tcBorders>
              <w:top w:val="nil"/>
              <w:left w:val="nil"/>
              <w:bottom w:val="single" w:sz="4" w:space="0" w:color="auto"/>
              <w:right w:val="nil"/>
            </w:tcBorders>
            <w:vAlign w:val="center"/>
          </w:tcPr>
          <w:p w14:paraId="48A7B9F7"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70,175</w:t>
            </w:r>
          </w:p>
        </w:tc>
        <w:tc>
          <w:tcPr>
            <w:tcW w:w="1242" w:type="dxa"/>
            <w:vMerge/>
            <w:tcBorders>
              <w:left w:val="nil"/>
              <w:bottom w:val="single" w:sz="4" w:space="0" w:color="auto"/>
              <w:right w:val="nil"/>
            </w:tcBorders>
          </w:tcPr>
          <w:p w14:paraId="65960814" w14:textId="77777777" w:rsidR="00EA07F3" w:rsidRPr="00A176F2" w:rsidRDefault="00EA07F3" w:rsidP="00E611F6">
            <w:pPr>
              <w:spacing w:line="360" w:lineRule="auto"/>
              <w:jc w:val="center"/>
              <w:rPr>
                <w:color w:val="000000" w:themeColor="text1"/>
                <w:sz w:val="24"/>
                <w:szCs w:val="24"/>
              </w:rPr>
            </w:pPr>
          </w:p>
        </w:tc>
      </w:tr>
    </w:tbl>
    <w:p w14:paraId="4ACB02D0" w14:textId="77777777" w:rsidR="00EA07F3" w:rsidRPr="00A176F2" w:rsidRDefault="00EA07F3" w:rsidP="00EA07F3">
      <w:pPr>
        <w:spacing w:line="360" w:lineRule="auto"/>
        <w:jc w:val="both"/>
        <w:rPr>
          <w:b/>
          <w:bCs/>
          <w:color w:val="000000" w:themeColor="text1"/>
        </w:rPr>
      </w:pPr>
    </w:p>
    <w:tbl>
      <w:tblPr>
        <w:tblStyle w:val="TableGrid"/>
        <w:tblW w:w="0" w:type="auto"/>
        <w:tblLook w:val="04A0" w:firstRow="1" w:lastRow="0" w:firstColumn="1" w:lastColumn="0" w:noHBand="0" w:noVBand="1"/>
      </w:tblPr>
      <w:tblGrid>
        <w:gridCol w:w="1364"/>
        <w:gridCol w:w="1226"/>
        <w:gridCol w:w="1227"/>
        <w:gridCol w:w="1227"/>
        <w:gridCol w:w="1230"/>
        <w:gridCol w:w="1239"/>
        <w:gridCol w:w="1242"/>
      </w:tblGrid>
      <w:tr w:rsidR="00EA07F3" w:rsidRPr="00A176F2" w14:paraId="1C9C6E3C" w14:textId="77777777" w:rsidTr="00E611F6">
        <w:tc>
          <w:tcPr>
            <w:tcW w:w="8755" w:type="dxa"/>
            <w:gridSpan w:val="7"/>
            <w:tcBorders>
              <w:top w:val="nil"/>
              <w:left w:val="nil"/>
              <w:bottom w:val="single" w:sz="4" w:space="0" w:color="auto"/>
              <w:right w:val="nil"/>
            </w:tcBorders>
          </w:tcPr>
          <w:p w14:paraId="6937CC10"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Tabel </w:t>
            </w:r>
            <w:proofErr w:type="spellStart"/>
            <w:r w:rsidRPr="00A176F2">
              <w:rPr>
                <w:color w:val="000000" w:themeColor="text1"/>
                <w:sz w:val="24"/>
                <w:szCs w:val="24"/>
              </w:rPr>
              <w:t>Absorbansi</w:t>
            </w:r>
            <w:proofErr w:type="spellEnd"/>
            <w:r w:rsidRPr="00A176F2">
              <w:rPr>
                <w:color w:val="000000" w:themeColor="text1"/>
                <w:sz w:val="24"/>
                <w:szCs w:val="24"/>
              </w:rPr>
              <w:t xml:space="preserve"> dan Hasil Uji Trolox FRAP </w:t>
            </w:r>
          </w:p>
        </w:tc>
      </w:tr>
      <w:tr w:rsidR="00EA07F3" w:rsidRPr="00A176F2" w14:paraId="19ACEB8D" w14:textId="77777777" w:rsidTr="00E611F6">
        <w:tc>
          <w:tcPr>
            <w:tcW w:w="1364" w:type="dxa"/>
            <w:tcBorders>
              <w:top w:val="single" w:sz="4" w:space="0" w:color="auto"/>
              <w:left w:val="nil"/>
              <w:bottom w:val="single" w:sz="4" w:space="0" w:color="auto"/>
              <w:right w:val="nil"/>
            </w:tcBorders>
          </w:tcPr>
          <w:p w14:paraId="383DC745" w14:textId="77777777" w:rsidR="00EA07F3" w:rsidRPr="00A176F2" w:rsidRDefault="00EA07F3" w:rsidP="00E611F6">
            <w:pPr>
              <w:spacing w:line="360" w:lineRule="auto"/>
              <w:jc w:val="center"/>
              <w:rPr>
                <w:color w:val="000000" w:themeColor="text1"/>
                <w:sz w:val="24"/>
                <w:szCs w:val="24"/>
              </w:rPr>
            </w:pPr>
            <w:proofErr w:type="spellStart"/>
            <w:r w:rsidRPr="00A176F2">
              <w:rPr>
                <w:color w:val="000000" w:themeColor="text1"/>
                <w:sz w:val="24"/>
                <w:szCs w:val="24"/>
              </w:rPr>
              <w:t>Konsentrasi</w:t>
            </w:r>
            <w:proofErr w:type="spellEnd"/>
            <w:r w:rsidRPr="00A176F2">
              <w:rPr>
                <w:color w:val="000000" w:themeColor="text1"/>
                <w:sz w:val="24"/>
                <w:szCs w:val="24"/>
              </w:rPr>
              <w:t xml:space="preserve"> </w:t>
            </w:r>
            <w:proofErr w:type="spellStart"/>
            <w:r w:rsidRPr="00A176F2">
              <w:rPr>
                <w:color w:val="000000" w:themeColor="text1"/>
                <w:sz w:val="24"/>
                <w:szCs w:val="24"/>
              </w:rPr>
              <w:t>Ekstrak</w:t>
            </w:r>
            <w:proofErr w:type="spellEnd"/>
          </w:p>
        </w:tc>
        <w:tc>
          <w:tcPr>
            <w:tcW w:w="1226" w:type="dxa"/>
            <w:tcBorders>
              <w:top w:val="single" w:sz="4" w:space="0" w:color="auto"/>
              <w:left w:val="nil"/>
              <w:bottom w:val="single" w:sz="4" w:space="0" w:color="auto"/>
              <w:right w:val="nil"/>
            </w:tcBorders>
          </w:tcPr>
          <w:p w14:paraId="351262E1"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Abs. A</w:t>
            </w:r>
          </w:p>
        </w:tc>
        <w:tc>
          <w:tcPr>
            <w:tcW w:w="1227" w:type="dxa"/>
            <w:tcBorders>
              <w:top w:val="single" w:sz="4" w:space="0" w:color="auto"/>
              <w:left w:val="nil"/>
              <w:bottom w:val="single" w:sz="4" w:space="0" w:color="auto"/>
              <w:right w:val="nil"/>
            </w:tcBorders>
          </w:tcPr>
          <w:p w14:paraId="1D683026"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Abs. B</w:t>
            </w:r>
          </w:p>
        </w:tc>
        <w:tc>
          <w:tcPr>
            <w:tcW w:w="1227" w:type="dxa"/>
            <w:tcBorders>
              <w:top w:val="single" w:sz="4" w:space="0" w:color="auto"/>
              <w:left w:val="nil"/>
              <w:bottom w:val="single" w:sz="4" w:space="0" w:color="auto"/>
              <w:right w:val="nil"/>
            </w:tcBorders>
          </w:tcPr>
          <w:p w14:paraId="410BF68D"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Abs. C</w:t>
            </w:r>
          </w:p>
        </w:tc>
        <w:tc>
          <w:tcPr>
            <w:tcW w:w="1230" w:type="dxa"/>
            <w:tcBorders>
              <w:top w:val="single" w:sz="4" w:space="0" w:color="auto"/>
              <w:left w:val="nil"/>
              <w:bottom w:val="single" w:sz="4" w:space="0" w:color="auto"/>
              <w:right w:val="nil"/>
            </w:tcBorders>
          </w:tcPr>
          <w:p w14:paraId="02FE4369"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Abs. Rata-rata</w:t>
            </w:r>
          </w:p>
        </w:tc>
        <w:tc>
          <w:tcPr>
            <w:tcW w:w="1239" w:type="dxa"/>
            <w:tcBorders>
              <w:top w:val="single" w:sz="4" w:space="0" w:color="auto"/>
              <w:left w:val="nil"/>
              <w:bottom w:val="single" w:sz="4" w:space="0" w:color="auto"/>
              <w:right w:val="nil"/>
            </w:tcBorders>
          </w:tcPr>
          <w:p w14:paraId="6F6CD1DB"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 </w:t>
            </w:r>
          </w:p>
          <w:p w14:paraId="3CBBC00A" w14:textId="77777777" w:rsidR="00EA07F3" w:rsidRPr="00A176F2" w:rsidRDefault="00EA07F3" w:rsidP="00E611F6">
            <w:pPr>
              <w:spacing w:line="360" w:lineRule="auto"/>
              <w:jc w:val="center"/>
              <w:rPr>
                <w:color w:val="000000" w:themeColor="text1"/>
                <w:sz w:val="24"/>
                <w:szCs w:val="24"/>
              </w:rPr>
            </w:pPr>
            <w:proofErr w:type="spellStart"/>
            <w:r w:rsidRPr="00A176F2">
              <w:rPr>
                <w:color w:val="000000" w:themeColor="text1"/>
                <w:sz w:val="24"/>
                <w:szCs w:val="24"/>
              </w:rPr>
              <w:t>Inhibisi</w:t>
            </w:r>
            <w:proofErr w:type="spellEnd"/>
          </w:p>
        </w:tc>
        <w:tc>
          <w:tcPr>
            <w:tcW w:w="1242" w:type="dxa"/>
            <w:tcBorders>
              <w:top w:val="single" w:sz="4" w:space="0" w:color="auto"/>
              <w:left w:val="nil"/>
              <w:bottom w:val="single" w:sz="4" w:space="0" w:color="auto"/>
              <w:right w:val="nil"/>
            </w:tcBorders>
          </w:tcPr>
          <w:p w14:paraId="09C3053F" w14:textId="77777777" w:rsidR="00EA07F3" w:rsidRPr="00A176F2" w:rsidRDefault="00EA07F3" w:rsidP="00E611F6">
            <w:pPr>
              <w:spacing w:line="360" w:lineRule="auto"/>
              <w:jc w:val="center"/>
              <w:rPr>
                <w:color w:val="000000" w:themeColor="text1"/>
                <w:sz w:val="24"/>
                <w:szCs w:val="24"/>
              </w:rPr>
            </w:pPr>
            <w:r w:rsidRPr="00A176F2">
              <w:rPr>
                <w:bCs/>
                <w:sz w:val="24"/>
                <w:szCs w:val="24"/>
              </w:rPr>
              <w:t>IC</w:t>
            </w:r>
            <w:r w:rsidRPr="00A176F2">
              <w:rPr>
                <w:bCs/>
                <w:sz w:val="24"/>
                <w:szCs w:val="24"/>
                <w:vertAlign w:val="subscript"/>
              </w:rPr>
              <w:t xml:space="preserve">50 </w:t>
            </w:r>
            <w:r w:rsidRPr="00A176F2">
              <w:rPr>
                <w:bCs/>
                <w:sz w:val="24"/>
                <w:szCs w:val="24"/>
              </w:rPr>
              <w:t>(</w:t>
            </w:r>
            <w:proofErr w:type="spellStart"/>
            <w:r w:rsidRPr="00A176F2">
              <w:rPr>
                <w:bCs/>
                <w:sz w:val="24"/>
                <w:szCs w:val="24"/>
              </w:rPr>
              <w:t>μg</w:t>
            </w:r>
            <w:proofErr w:type="spellEnd"/>
            <w:r w:rsidRPr="00A176F2">
              <w:rPr>
                <w:bCs/>
                <w:sz w:val="24"/>
                <w:szCs w:val="24"/>
              </w:rPr>
              <w:t>/mL)</w:t>
            </w:r>
          </w:p>
        </w:tc>
      </w:tr>
      <w:tr w:rsidR="00EA07F3" w:rsidRPr="00A176F2" w14:paraId="1BA2F466" w14:textId="77777777" w:rsidTr="00E611F6">
        <w:tc>
          <w:tcPr>
            <w:tcW w:w="1364" w:type="dxa"/>
            <w:tcBorders>
              <w:top w:val="single" w:sz="4" w:space="0" w:color="auto"/>
              <w:left w:val="nil"/>
              <w:bottom w:val="nil"/>
              <w:right w:val="nil"/>
            </w:tcBorders>
            <w:vAlign w:val="center"/>
          </w:tcPr>
          <w:p w14:paraId="19D53367"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5</w:t>
            </w:r>
          </w:p>
        </w:tc>
        <w:tc>
          <w:tcPr>
            <w:tcW w:w="1226" w:type="dxa"/>
            <w:tcBorders>
              <w:top w:val="single" w:sz="4" w:space="0" w:color="auto"/>
              <w:left w:val="nil"/>
              <w:bottom w:val="nil"/>
              <w:right w:val="nil"/>
            </w:tcBorders>
          </w:tcPr>
          <w:p w14:paraId="2321AC38"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0,151</w:t>
            </w:r>
          </w:p>
        </w:tc>
        <w:tc>
          <w:tcPr>
            <w:tcW w:w="1227" w:type="dxa"/>
            <w:tcBorders>
              <w:top w:val="single" w:sz="4" w:space="0" w:color="auto"/>
              <w:left w:val="nil"/>
              <w:bottom w:val="nil"/>
              <w:right w:val="nil"/>
            </w:tcBorders>
          </w:tcPr>
          <w:p w14:paraId="5DD8A3DA"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0,157</w:t>
            </w:r>
          </w:p>
        </w:tc>
        <w:tc>
          <w:tcPr>
            <w:tcW w:w="1227" w:type="dxa"/>
            <w:tcBorders>
              <w:top w:val="single" w:sz="4" w:space="0" w:color="auto"/>
              <w:left w:val="nil"/>
              <w:bottom w:val="nil"/>
              <w:right w:val="nil"/>
            </w:tcBorders>
          </w:tcPr>
          <w:p w14:paraId="5B12D549"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0,160</w:t>
            </w:r>
          </w:p>
        </w:tc>
        <w:tc>
          <w:tcPr>
            <w:tcW w:w="1230" w:type="dxa"/>
            <w:tcBorders>
              <w:top w:val="single" w:sz="4" w:space="0" w:color="auto"/>
              <w:left w:val="nil"/>
              <w:bottom w:val="nil"/>
              <w:right w:val="nil"/>
            </w:tcBorders>
            <w:vAlign w:val="center"/>
          </w:tcPr>
          <w:p w14:paraId="7C8D2B5B"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0,156</w:t>
            </w:r>
          </w:p>
        </w:tc>
        <w:tc>
          <w:tcPr>
            <w:tcW w:w="1239" w:type="dxa"/>
            <w:tcBorders>
              <w:top w:val="single" w:sz="4" w:space="0" w:color="auto"/>
              <w:left w:val="nil"/>
              <w:bottom w:val="nil"/>
              <w:right w:val="nil"/>
            </w:tcBorders>
            <w:vAlign w:val="center"/>
          </w:tcPr>
          <w:p w14:paraId="4EC53A18"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39,103 </w:t>
            </w:r>
          </w:p>
        </w:tc>
        <w:tc>
          <w:tcPr>
            <w:tcW w:w="1242" w:type="dxa"/>
            <w:vMerge w:val="restart"/>
            <w:tcBorders>
              <w:top w:val="single" w:sz="4" w:space="0" w:color="auto"/>
              <w:left w:val="nil"/>
              <w:right w:val="nil"/>
            </w:tcBorders>
            <w:vAlign w:val="center"/>
          </w:tcPr>
          <w:p w14:paraId="7F52841B"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10,54</w:t>
            </w:r>
          </w:p>
        </w:tc>
      </w:tr>
      <w:tr w:rsidR="00EA07F3" w:rsidRPr="00A176F2" w14:paraId="755C2BA5" w14:textId="77777777" w:rsidTr="00E611F6">
        <w:tc>
          <w:tcPr>
            <w:tcW w:w="1364" w:type="dxa"/>
            <w:tcBorders>
              <w:top w:val="nil"/>
              <w:left w:val="nil"/>
              <w:bottom w:val="nil"/>
              <w:right w:val="nil"/>
            </w:tcBorders>
            <w:vAlign w:val="center"/>
          </w:tcPr>
          <w:p w14:paraId="5586B8CE"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10</w:t>
            </w:r>
          </w:p>
        </w:tc>
        <w:tc>
          <w:tcPr>
            <w:tcW w:w="1226" w:type="dxa"/>
            <w:tcBorders>
              <w:top w:val="nil"/>
              <w:left w:val="nil"/>
              <w:bottom w:val="nil"/>
              <w:right w:val="nil"/>
            </w:tcBorders>
          </w:tcPr>
          <w:p w14:paraId="2C6CA92E"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0,186</w:t>
            </w:r>
          </w:p>
        </w:tc>
        <w:tc>
          <w:tcPr>
            <w:tcW w:w="1227" w:type="dxa"/>
            <w:tcBorders>
              <w:top w:val="nil"/>
              <w:left w:val="nil"/>
              <w:bottom w:val="nil"/>
              <w:right w:val="nil"/>
            </w:tcBorders>
          </w:tcPr>
          <w:p w14:paraId="5FA3043A"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0,189</w:t>
            </w:r>
          </w:p>
        </w:tc>
        <w:tc>
          <w:tcPr>
            <w:tcW w:w="1227" w:type="dxa"/>
            <w:tcBorders>
              <w:top w:val="nil"/>
              <w:left w:val="nil"/>
              <w:bottom w:val="nil"/>
              <w:right w:val="nil"/>
            </w:tcBorders>
          </w:tcPr>
          <w:p w14:paraId="0BE61FF5"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0,192</w:t>
            </w:r>
          </w:p>
        </w:tc>
        <w:tc>
          <w:tcPr>
            <w:tcW w:w="1230" w:type="dxa"/>
            <w:tcBorders>
              <w:top w:val="nil"/>
              <w:left w:val="nil"/>
              <w:bottom w:val="nil"/>
              <w:right w:val="nil"/>
            </w:tcBorders>
            <w:vAlign w:val="center"/>
          </w:tcPr>
          <w:p w14:paraId="1664A949"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0,189</w:t>
            </w:r>
          </w:p>
        </w:tc>
        <w:tc>
          <w:tcPr>
            <w:tcW w:w="1239" w:type="dxa"/>
            <w:tcBorders>
              <w:top w:val="nil"/>
              <w:left w:val="nil"/>
              <w:bottom w:val="nil"/>
              <w:right w:val="nil"/>
            </w:tcBorders>
            <w:vAlign w:val="center"/>
          </w:tcPr>
          <w:p w14:paraId="2EBF2099"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49,735 </w:t>
            </w:r>
          </w:p>
        </w:tc>
        <w:tc>
          <w:tcPr>
            <w:tcW w:w="1242" w:type="dxa"/>
            <w:vMerge/>
            <w:tcBorders>
              <w:left w:val="nil"/>
              <w:right w:val="nil"/>
            </w:tcBorders>
          </w:tcPr>
          <w:p w14:paraId="75526791" w14:textId="77777777" w:rsidR="00EA07F3" w:rsidRPr="00A176F2" w:rsidRDefault="00EA07F3" w:rsidP="00E611F6">
            <w:pPr>
              <w:spacing w:line="360" w:lineRule="auto"/>
              <w:jc w:val="center"/>
              <w:rPr>
                <w:color w:val="000000" w:themeColor="text1"/>
                <w:sz w:val="24"/>
                <w:szCs w:val="24"/>
              </w:rPr>
            </w:pPr>
          </w:p>
        </w:tc>
      </w:tr>
      <w:tr w:rsidR="00EA07F3" w:rsidRPr="00A176F2" w14:paraId="7E99906B" w14:textId="77777777" w:rsidTr="00E611F6">
        <w:tc>
          <w:tcPr>
            <w:tcW w:w="1364" w:type="dxa"/>
            <w:tcBorders>
              <w:top w:val="nil"/>
              <w:left w:val="nil"/>
              <w:bottom w:val="nil"/>
              <w:right w:val="nil"/>
            </w:tcBorders>
            <w:vAlign w:val="center"/>
          </w:tcPr>
          <w:p w14:paraId="6C035073"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lastRenderedPageBreak/>
              <w:t>15</w:t>
            </w:r>
          </w:p>
        </w:tc>
        <w:tc>
          <w:tcPr>
            <w:tcW w:w="1226" w:type="dxa"/>
            <w:tcBorders>
              <w:top w:val="nil"/>
              <w:left w:val="nil"/>
              <w:bottom w:val="nil"/>
              <w:right w:val="nil"/>
            </w:tcBorders>
          </w:tcPr>
          <w:p w14:paraId="56324130"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0,228</w:t>
            </w:r>
          </w:p>
        </w:tc>
        <w:tc>
          <w:tcPr>
            <w:tcW w:w="1227" w:type="dxa"/>
            <w:tcBorders>
              <w:top w:val="nil"/>
              <w:left w:val="nil"/>
              <w:bottom w:val="nil"/>
              <w:right w:val="nil"/>
            </w:tcBorders>
          </w:tcPr>
          <w:p w14:paraId="60FBC08D"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0,233</w:t>
            </w:r>
          </w:p>
        </w:tc>
        <w:tc>
          <w:tcPr>
            <w:tcW w:w="1227" w:type="dxa"/>
            <w:tcBorders>
              <w:top w:val="nil"/>
              <w:left w:val="nil"/>
              <w:bottom w:val="nil"/>
              <w:right w:val="nil"/>
            </w:tcBorders>
          </w:tcPr>
          <w:p w14:paraId="3516D390"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0,235</w:t>
            </w:r>
          </w:p>
        </w:tc>
        <w:tc>
          <w:tcPr>
            <w:tcW w:w="1230" w:type="dxa"/>
            <w:tcBorders>
              <w:top w:val="nil"/>
              <w:left w:val="nil"/>
              <w:bottom w:val="nil"/>
              <w:right w:val="nil"/>
            </w:tcBorders>
            <w:vAlign w:val="center"/>
          </w:tcPr>
          <w:p w14:paraId="47BF1C32"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0,2</w:t>
            </w:r>
            <w:r>
              <w:rPr>
                <w:color w:val="000000" w:themeColor="text1"/>
                <w:sz w:val="24"/>
                <w:szCs w:val="24"/>
              </w:rPr>
              <w:t>3</w:t>
            </w:r>
            <w:r w:rsidRPr="00A176F2">
              <w:rPr>
                <w:color w:val="000000" w:themeColor="text1"/>
                <w:sz w:val="24"/>
                <w:szCs w:val="24"/>
              </w:rPr>
              <w:t>2</w:t>
            </w:r>
          </w:p>
        </w:tc>
        <w:tc>
          <w:tcPr>
            <w:tcW w:w="1239" w:type="dxa"/>
            <w:tcBorders>
              <w:top w:val="nil"/>
              <w:left w:val="nil"/>
              <w:bottom w:val="nil"/>
              <w:right w:val="nil"/>
            </w:tcBorders>
            <w:vAlign w:val="center"/>
          </w:tcPr>
          <w:p w14:paraId="09A97EB0"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59,052 </w:t>
            </w:r>
          </w:p>
        </w:tc>
        <w:tc>
          <w:tcPr>
            <w:tcW w:w="1242" w:type="dxa"/>
            <w:vMerge/>
            <w:tcBorders>
              <w:left w:val="nil"/>
              <w:right w:val="nil"/>
            </w:tcBorders>
          </w:tcPr>
          <w:p w14:paraId="466DD538" w14:textId="77777777" w:rsidR="00EA07F3" w:rsidRPr="00A176F2" w:rsidRDefault="00EA07F3" w:rsidP="00E611F6">
            <w:pPr>
              <w:spacing w:line="360" w:lineRule="auto"/>
              <w:jc w:val="center"/>
              <w:rPr>
                <w:color w:val="000000" w:themeColor="text1"/>
                <w:sz w:val="24"/>
                <w:szCs w:val="24"/>
              </w:rPr>
            </w:pPr>
          </w:p>
        </w:tc>
      </w:tr>
      <w:tr w:rsidR="00EA07F3" w:rsidRPr="00A176F2" w14:paraId="6EE672F6" w14:textId="77777777" w:rsidTr="00E611F6">
        <w:tc>
          <w:tcPr>
            <w:tcW w:w="1364" w:type="dxa"/>
            <w:tcBorders>
              <w:top w:val="nil"/>
              <w:left w:val="nil"/>
              <w:bottom w:val="nil"/>
              <w:right w:val="nil"/>
            </w:tcBorders>
            <w:vAlign w:val="center"/>
          </w:tcPr>
          <w:p w14:paraId="64465939"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20</w:t>
            </w:r>
          </w:p>
        </w:tc>
        <w:tc>
          <w:tcPr>
            <w:tcW w:w="1226" w:type="dxa"/>
            <w:tcBorders>
              <w:top w:val="nil"/>
              <w:left w:val="nil"/>
              <w:bottom w:val="nil"/>
              <w:right w:val="nil"/>
            </w:tcBorders>
          </w:tcPr>
          <w:p w14:paraId="79D9BF63"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0,280</w:t>
            </w:r>
          </w:p>
        </w:tc>
        <w:tc>
          <w:tcPr>
            <w:tcW w:w="1227" w:type="dxa"/>
            <w:tcBorders>
              <w:top w:val="nil"/>
              <w:left w:val="nil"/>
              <w:bottom w:val="nil"/>
              <w:right w:val="nil"/>
            </w:tcBorders>
          </w:tcPr>
          <w:p w14:paraId="31903772"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0,283</w:t>
            </w:r>
          </w:p>
        </w:tc>
        <w:tc>
          <w:tcPr>
            <w:tcW w:w="1227" w:type="dxa"/>
            <w:tcBorders>
              <w:top w:val="nil"/>
              <w:left w:val="nil"/>
              <w:bottom w:val="nil"/>
              <w:right w:val="nil"/>
            </w:tcBorders>
          </w:tcPr>
          <w:p w14:paraId="04ABDB45"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0,286</w:t>
            </w:r>
          </w:p>
        </w:tc>
        <w:tc>
          <w:tcPr>
            <w:tcW w:w="1230" w:type="dxa"/>
            <w:tcBorders>
              <w:top w:val="nil"/>
              <w:left w:val="nil"/>
              <w:bottom w:val="nil"/>
              <w:right w:val="nil"/>
            </w:tcBorders>
            <w:vAlign w:val="center"/>
          </w:tcPr>
          <w:p w14:paraId="5007AB26"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0,283</w:t>
            </w:r>
          </w:p>
        </w:tc>
        <w:tc>
          <w:tcPr>
            <w:tcW w:w="1239" w:type="dxa"/>
            <w:tcBorders>
              <w:top w:val="nil"/>
              <w:left w:val="nil"/>
              <w:bottom w:val="nil"/>
              <w:right w:val="nil"/>
            </w:tcBorders>
            <w:vAlign w:val="center"/>
          </w:tcPr>
          <w:p w14:paraId="513DBCC7"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66,431 </w:t>
            </w:r>
          </w:p>
        </w:tc>
        <w:tc>
          <w:tcPr>
            <w:tcW w:w="1242" w:type="dxa"/>
            <w:vMerge/>
            <w:tcBorders>
              <w:left w:val="nil"/>
              <w:right w:val="nil"/>
            </w:tcBorders>
          </w:tcPr>
          <w:p w14:paraId="487FEE51" w14:textId="77777777" w:rsidR="00EA07F3" w:rsidRPr="00A176F2" w:rsidRDefault="00EA07F3" w:rsidP="00E611F6">
            <w:pPr>
              <w:spacing w:line="360" w:lineRule="auto"/>
              <w:jc w:val="center"/>
              <w:rPr>
                <w:color w:val="000000" w:themeColor="text1"/>
                <w:sz w:val="24"/>
                <w:szCs w:val="24"/>
              </w:rPr>
            </w:pPr>
          </w:p>
        </w:tc>
      </w:tr>
      <w:tr w:rsidR="00EA07F3" w:rsidRPr="00A176F2" w14:paraId="0B6B0B01" w14:textId="77777777" w:rsidTr="00E611F6">
        <w:tc>
          <w:tcPr>
            <w:tcW w:w="1364" w:type="dxa"/>
            <w:tcBorders>
              <w:top w:val="nil"/>
              <w:left w:val="nil"/>
              <w:bottom w:val="single" w:sz="4" w:space="0" w:color="auto"/>
              <w:right w:val="nil"/>
            </w:tcBorders>
            <w:vAlign w:val="center"/>
          </w:tcPr>
          <w:p w14:paraId="19D549E5"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25</w:t>
            </w:r>
          </w:p>
        </w:tc>
        <w:tc>
          <w:tcPr>
            <w:tcW w:w="1226" w:type="dxa"/>
            <w:tcBorders>
              <w:top w:val="nil"/>
              <w:left w:val="nil"/>
              <w:bottom w:val="single" w:sz="4" w:space="0" w:color="auto"/>
              <w:right w:val="nil"/>
            </w:tcBorders>
          </w:tcPr>
          <w:p w14:paraId="268099B4"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0,401</w:t>
            </w:r>
          </w:p>
        </w:tc>
        <w:tc>
          <w:tcPr>
            <w:tcW w:w="1227" w:type="dxa"/>
            <w:tcBorders>
              <w:top w:val="nil"/>
              <w:left w:val="nil"/>
              <w:bottom w:val="single" w:sz="4" w:space="0" w:color="auto"/>
              <w:right w:val="nil"/>
            </w:tcBorders>
          </w:tcPr>
          <w:p w14:paraId="2E955B1E"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0,406</w:t>
            </w:r>
          </w:p>
        </w:tc>
        <w:tc>
          <w:tcPr>
            <w:tcW w:w="1227" w:type="dxa"/>
            <w:tcBorders>
              <w:top w:val="nil"/>
              <w:left w:val="nil"/>
              <w:bottom w:val="single" w:sz="4" w:space="0" w:color="auto"/>
              <w:right w:val="nil"/>
            </w:tcBorders>
          </w:tcPr>
          <w:p w14:paraId="32D567BD"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0,405</w:t>
            </w:r>
          </w:p>
        </w:tc>
        <w:tc>
          <w:tcPr>
            <w:tcW w:w="1230" w:type="dxa"/>
            <w:tcBorders>
              <w:top w:val="nil"/>
              <w:left w:val="nil"/>
              <w:bottom w:val="single" w:sz="4" w:space="0" w:color="auto"/>
              <w:right w:val="nil"/>
            </w:tcBorders>
            <w:vAlign w:val="center"/>
          </w:tcPr>
          <w:p w14:paraId="3FF98F55"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0,404</w:t>
            </w:r>
          </w:p>
        </w:tc>
        <w:tc>
          <w:tcPr>
            <w:tcW w:w="1239" w:type="dxa"/>
            <w:tcBorders>
              <w:top w:val="nil"/>
              <w:left w:val="nil"/>
              <w:bottom w:val="single" w:sz="4" w:space="0" w:color="auto"/>
              <w:right w:val="nil"/>
            </w:tcBorders>
            <w:vAlign w:val="center"/>
          </w:tcPr>
          <w:p w14:paraId="63FC8944"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76,485 </w:t>
            </w:r>
          </w:p>
        </w:tc>
        <w:tc>
          <w:tcPr>
            <w:tcW w:w="1242" w:type="dxa"/>
            <w:vMerge/>
            <w:tcBorders>
              <w:left w:val="nil"/>
              <w:bottom w:val="single" w:sz="4" w:space="0" w:color="auto"/>
              <w:right w:val="nil"/>
            </w:tcBorders>
          </w:tcPr>
          <w:p w14:paraId="6A2AEA4A" w14:textId="77777777" w:rsidR="00EA07F3" w:rsidRPr="00A176F2" w:rsidRDefault="00EA07F3" w:rsidP="00E611F6">
            <w:pPr>
              <w:spacing w:line="360" w:lineRule="auto"/>
              <w:jc w:val="center"/>
              <w:rPr>
                <w:color w:val="000000" w:themeColor="text1"/>
                <w:sz w:val="24"/>
                <w:szCs w:val="24"/>
              </w:rPr>
            </w:pPr>
          </w:p>
        </w:tc>
      </w:tr>
    </w:tbl>
    <w:p w14:paraId="2491CAFB" w14:textId="77777777" w:rsidR="00EA07F3" w:rsidRDefault="00EA07F3" w:rsidP="00EA07F3">
      <w:pPr>
        <w:spacing w:line="360" w:lineRule="auto"/>
        <w:jc w:val="both"/>
        <w:rPr>
          <w:color w:val="0070C0"/>
        </w:rPr>
      </w:pPr>
    </w:p>
    <w:p w14:paraId="4D80CB57" w14:textId="3C1D1F1C" w:rsidR="00EA07F3" w:rsidRPr="00EA07F3" w:rsidRDefault="00EA07F3" w:rsidP="00EA07F3">
      <w:pPr>
        <w:spacing w:before="100" w:beforeAutospacing="1" w:after="100" w:afterAutospacing="1"/>
        <w:outlineLvl w:val="2"/>
        <w:rPr>
          <w:b/>
          <w:bCs/>
          <w:sz w:val="30"/>
          <w:szCs w:val="30"/>
        </w:rPr>
      </w:pPr>
      <w:r>
        <w:rPr>
          <w:b/>
          <w:bCs/>
          <w:sz w:val="30"/>
          <w:szCs w:val="30"/>
        </w:rPr>
        <w:t>5</w:t>
      </w:r>
      <w:r w:rsidRPr="00EA07F3">
        <w:rPr>
          <w:b/>
          <w:bCs/>
          <w:sz w:val="30"/>
          <w:szCs w:val="30"/>
        </w:rPr>
        <w:t>. Total Antioxidant Capacity Test Using 2,2’-Azinobis (3-ethylbenzothiazoline-6-sulfonic acid) (ABTS) Method</w:t>
      </w:r>
    </w:p>
    <w:p w14:paraId="7C54F072" w14:textId="77777777" w:rsidR="00EA07F3" w:rsidRPr="00EA07F3" w:rsidRDefault="00EA07F3" w:rsidP="00EA07F3">
      <w:pPr>
        <w:spacing w:before="100" w:beforeAutospacing="1" w:after="100" w:afterAutospacing="1"/>
        <w:outlineLvl w:val="3"/>
        <w:rPr>
          <w:b/>
          <w:bCs/>
        </w:rPr>
      </w:pPr>
      <w:r w:rsidRPr="00EA07F3">
        <w:rPr>
          <w:b/>
          <w:bCs/>
        </w:rPr>
        <w:t>Preparation of ABTS Solution</w:t>
      </w:r>
    </w:p>
    <w:p w14:paraId="6199525A" w14:textId="77777777" w:rsidR="00EA07F3" w:rsidRPr="00EA07F3" w:rsidRDefault="00EA07F3" w:rsidP="00EA07F3">
      <w:pPr>
        <w:spacing w:before="100" w:beforeAutospacing="1" w:after="100" w:afterAutospacing="1"/>
      </w:pPr>
      <w:r w:rsidRPr="00EA07F3">
        <w:t>A total of 7.1 mg of ABTS powder and 3.5 mg of potassium persulfate (K₂S₂O₈) were weighed separately and each dissolved in 5 mL of distilled water (</w:t>
      </w:r>
      <w:proofErr w:type="spellStart"/>
      <w:r w:rsidRPr="00EA07F3">
        <w:t>aquadest</w:t>
      </w:r>
      <w:proofErr w:type="spellEnd"/>
      <w:r w:rsidRPr="00EA07F3">
        <w:t>). The two solutions were then homogenized and incubated in a dark room for 12 hours. After 12 hours, the solutions were diluted with distilled water to a final volume of 25 mL, and the absorbance was measured at a wavelength of 753 nm. The absorbance value should fall within the range of 0.7–0.8 (± 0.02). The measured absorbance was &gt;3, so the solution was diluted in a 1:9 ratio and remeasured using a Genesys 30-Vis spectrophotometer. The final absorbance obtained was 0.799.</w:t>
      </w:r>
    </w:p>
    <w:p w14:paraId="51F93A29" w14:textId="77777777" w:rsidR="00EA07F3" w:rsidRPr="00EA07F3" w:rsidRDefault="00EA07F3" w:rsidP="00EA07F3">
      <w:pPr>
        <w:spacing w:before="100" w:beforeAutospacing="1" w:after="100" w:afterAutospacing="1"/>
        <w:outlineLvl w:val="3"/>
        <w:rPr>
          <w:b/>
          <w:bCs/>
        </w:rPr>
      </w:pPr>
      <w:r w:rsidRPr="00EA07F3">
        <w:rPr>
          <w:b/>
          <w:bCs/>
        </w:rPr>
        <w:t>Measurement of Control Absorbance</w:t>
      </w:r>
    </w:p>
    <w:p w14:paraId="61390D36" w14:textId="77777777" w:rsidR="00EA07F3" w:rsidRPr="00EA07F3" w:rsidRDefault="00EA07F3" w:rsidP="00EA07F3">
      <w:pPr>
        <w:spacing w:before="100" w:beforeAutospacing="1" w:after="100" w:afterAutospacing="1"/>
      </w:pPr>
      <w:r w:rsidRPr="00EA07F3">
        <w:t xml:space="preserve">One </w:t>
      </w:r>
      <w:proofErr w:type="spellStart"/>
      <w:r w:rsidRPr="00EA07F3">
        <w:t>milliliter</w:t>
      </w:r>
      <w:proofErr w:type="spellEnd"/>
      <w:r w:rsidRPr="00EA07F3">
        <w:t xml:space="preserve"> of ABTS solution was mixed with distilled water to a total volume of 10 mL, homogenized, and incubated for 6 minutes. The absorbance was then measured using a Genesys 30-Vis spectrophotometer at a wavelength of 734 nm.</w:t>
      </w:r>
    </w:p>
    <w:p w14:paraId="64BCB40C" w14:textId="77777777" w:rsidR="00EA07F3" w:rsidRPr="00EA07F3" w:rsidRDefault="00EA07F3" w:rsidP="00EA07F3">
      <w:pPr>
        <w:spacing w:before="100" w:beforeAutospacing="1" w:after="100" w:afterAutospacing="1"/>
        <w:outlineLvl w:val="3"/>
        <w:rPr>
          <w:b/>
          <w:bCs/>
        </w:rPr>
      </w:pPr>
      <w:r w:rsidRPr="00EA07F3">
        <w:rPr>
          <w:b/>
          <w:bCs/>
        </w:rPr>
        <w:t>Preparation of Trolox Standard Solutions</w:t>
      </w:r>
    </w:p>
    <w:p w14:paraId="36540B9F" w14:textId="77777777" w:rsidR="00EA07F3" w:rsidRPr="00EA07F3" w:rsidRDefault="00EA07F3" w:rsidP="00EA07F3">
      <w:pPr>
        <w:spacing w:before="100" w:beforeAutospacing="1" w:after="100" w:afterAutospacing="1"/>
      </w:pPr>
      <w:r w:rsidRPr="00EA07F3">
        <w:t xml:space="preserve">Trolox standard solutions were prepared at concentrations of 5 </w:t>
      </w:r>
      <w:proofErr w:type="spellStart"/>
      <w:r w:rsidRPr="00EA07F3">
        <w:t>μg</w:t>
      </w:r>
      <w:proofErr w:type="spellEnd"/>
      <w:r w:rsidRPr="00EA07F3">
        <w:t xml:space="preserve">/mL, 10 </w:t>
      </w:r>
      <w:proofErr w:type="spellStart"/>
      <w:r w:rsidRPr="00EA07F3">
        <w:t>μg</w:t>
      </w:r>
      <w:proofErr w:type="spellEnd"/>
      <w:r w:rsidRPr="00EA07F3">
        <w:t xml:space="preserve">/mL, 15 </w:t>
      </w:r>
      <w:proofErr w:type="spellStart"/>
      <w:r w:rsidRPr="00EA07F3">
        <w:t>μg</w:t>
      </w:r>
      <w:proofErr w:type="spellEnd"/>
      <w:r w:rsidRPr="00EA07F3">
        <w:t xml:space="preserve">/mL, 20 </w:t>
      </w:r>
      <w:proofErr w:type="spellStart"/>
      <w:r w:rsidRPr="00EA07F3">
        <w:t>μg</w:t>
      </w:r>
      <w:proofErr w:type="spellEnd"/>
      <w:r w:rsidRPr="00EA07F3">
        <w:t xml:space="preserve">/mL, and 25 </w:t>
      </w:r>
      <w:proofErr w:type="spellStart"/>
      <w:r w:rsidRPr="00EA07F3">
        <w:t>μg</w:t>
      </w:r>
      <w:proofErr w:type="spellEnd"/>
      <w:r w:rsidRPr="00EA07F3">
        <w:t>/</w:t>
      </w:r>
      <w:proofErr w:type="spellStart"/>
      <w:r w:rsidRPr="00EA07F3">
        <w:t>mL.</w:t>
      </w:r>
      <w:proofErr w:type="spellEnd"/>
      <w:r w:rsidRPr="00EA07F3">
        <w:t xml:space="preserve"> Each Trolox solution was mixed with the ABTS solution in a 1:1 ratio by combining 250 </w:t>
      </w:r>
      <w:proofErr w:type="spellStart"/>
      <w:r w:rsidRPr="00EA07F3">
        <w:t>μL</w:t>
      </w:r>
      <w:proofErr w:type="spellEnd"/>
      <w:r w:rsidRPr="00EA07F3">
        <w:t xml:space="preserve"> of each, resulting in a total volume of 500 </w:t>
      </w:r>
      <w:proofErr w:type="spellStart"/>
      <w:r w:rsidRPr="00EA07F3">
        <w:t>μL</w:t>
      </w:r>
      <w:proofErr w:type="spellEnd"/>
      <w:r w:rsidRPr="00EA07F3">
        <w:t>. Trolox served as a positive control. Each concentration was tested in triplicate, and the absorbance was measured using a Genesys 30-Vis spectrophotometer at the maximum wavelength. A standard calibration curve was then plotted.</w:t>
      </w:r>
    </w:p>
    <w:p w14:paraId="514EB5BE" w14:textId="77777777" w:rsidR="00EA07F3" w:rsidRPr="00EA07F3" w:rsidRDefault="00EA07F3" w:rsidP="00EA07F3">
      <w:pPr>
        <w:spacing w:before="100" w:beforeAutospacing="1" w:after="100" w:afterAutospacing="1"/>
        <w:outlineLvl w:val="3"/>
        <w:rPr>
          <w:b/>
          <w:bCs/>
        </w:rPr>
      </w:pPr>
      <w:r w:rsidRPr="00EA07F3">
        <w:rPr>
          <w:b/>
          <w:bCs/>
        </w:rPr>
        <w:t>Determination of the Antioxidant Activity of Yellow Wood Root Extract</w:t>
      </w:r>
    </w:p>
    <w:p w14:paraId="539F11D7" w14:textId="77777777" w:rsidR="00EA07F3" w:rsidRPr="00EA07F3" w:rsidRDefault="00EA07F3" w:rsidP="00EA07F3">
      <w:pPr>
        <w:spacing w:before="100" w:beforeAutospacing="1" w:after="100" w:afterAutospacing="1"/>
      </w:pPr>
      <w:r w:rsidRPr="00EA07F3">
        <w:t xml:space="preserve">A total of 0.02 grams of yellow wood root extract was dissolved in 10 mL of ethanol and homogenized thoroughly. The solution was then diluted to concentrations of 10 </w:t>
      </w:r>
      <w:proofErr w:type="spellStart"/>
      <w:r w:rsidRPr="00EA07F3">
        <w:t>μg</w:t>
      </w:r>
      <w:proofErr w:type="spellEnd"/>
      <w:r w:rsidRPr="00EA07F3">
        <w:t xml:space="preserve">/mL, 15 </w:t>
      </w:r>
      <w:proofErr w:type="spellStart"/>
      <w:r w:rsidRPr="00EA07F3">
        <w:t>μg</w:t>
      </w:r>
      <w:proofErr w:type="spellEnd"/>
      <w:r w:rsidRPr="00EA07F3">
        <w:t xml:space="preserve">/mL, 20 </w:t>
      </w:r>
      <w:proofErr w:type="spellStart"/>
      <w:r w:rsidRPr="00EA07F3">
        <w:t>μg</w:t>
      </w:r>
      <w:proofErr w:type="spellEnd"/>
      <w:r w:rsidRPr="00EA07F3">
        <w:t xml:space="preserve">/mL, 25 </w:t>
      </w:r>
      <w:proofErr w:type="spellStart"/>
      <w:r w:rsidRPr="00EA07F3">
        <w:t>μg</w:t>
      </w:r>
      <w:proofErr w:type="spellEnd"/>
      <w:r w:rsidRPr="00EA07F3">
        <w:t xml:space="preserve">/mL, and 30 </w:t>
      </w:r>
      <w:proofErr w:type="spellStart"/>
      <w:r w:rsidRPr="00EA07F3">
        <w:t>μg</w:t>
      </w:r>
      <w:proofErr w:type="spellEnd"/>
      <w:r w:rsidRPr="00EA07F3">
        <w:t>/</w:t>
      </w:r>
      <w:proofErr w:type="spellStart"/>
      <w:r w:rsidRPr="00EA07F3">
        <w:t>mL.</w:t>
      </w:r>
      <w:proofErr w:type="spellEnd"/>
      <w:r w:rsidRPr="00EA07F3">
        <w:t xml:space="preserve"> Each sample concentration was mixed with the ABTS solution in a 1:1 ratio, with 250 </w:t>
      </w:r>
      <w:proofErr w:type="spellStart"/>
      <w:r w:rsidRPr="00EA07F3">
        <w:t>μL</w:t>
      </w:r>
      <w:proofErr w:type="spellEnd"/>
      <w:r w:rsidRPr="00EA07F3">
        <w:t xml:space="preserve"> of the extract solution and 250 </w:t>
      </w:r>
      <w:proofErr w:type="spellStart"/>
      <w:r w:rsidRPr="00EA07F3">
        <w:t>μL</w:t>
      </w:r>
      <w:proofErr w:type="spellEnd"/>
      <w:r w:rsidRPr="00EA07F3">
        <w:t xml:space="preserve"> of the ABTS solution. This procedure was performed in triplicate, and absorbance was measured using a Genesys 30-Vis spectrophotometer at the maximum wavelength. A calibration curve was generated for the yellow wood root extract.</w:t>
      </w:r>
    </w:p>
    <w:p w14:paraId="187C3A74" w14:textId="77777777" w:rsidR="00EA07F3" w:rsidRPr="00EA07F3" w:rsidRDefault="00EA07F3" w:rsidP="00EA07F3">
      <w:pPr>
        <w:spacing w:before="100" w:beforeAutospacing="1" w:after="100" w:afterAutospacing="1"/>
      </w:pPr>
      <w:r w:rsidRPr="00EA07F3">
        <w:lastRenderedPageBreak/>
        <w:t>The antioxidant activity of the extract was determined using the following inhibition percentage formula:</w:t>
      </w:r>
    </w:p>
    <w:p w14:paraId="572871EA" w14:textId="231924C2" w:rsidR="00EA07F3" w:rsidRPr="00A176F2" w:rsidRDefault="00EA07F3" w:rsidP="00EA07F3">
      <w:pPr>
        <w:spacing w:line="360" w:lineRule="auto"/>
        <w:jc w:val="center"/>
        <w:rPr>
          <w:bCs/>
        </w:rPr>
      </w:pPr>
      <w:r>
        <w:rPr>
          <w:bCs/>
        </w:rPr>
        <w:t>Inhibition Percentage</w:t>
      </w:r>
      <w:r w:rsidRPr="00A176F2">
        <w:rPr>
          <w:bCs/>
        </w:rPr>
        <w:t xml:space="preserve"> (%) = </w:t>
      </w:r>
      <m:oMath>
        <m:f>
          <m:fPr>
            <m:ctrlPr>
              <w:rPr>
                <w:rFonts w:ascii="Cambria Math" w:hAnsi="Cambria Math"/>
                <w:bCs/>
                <w:i/>
              </w:rPr>
            </m:ctrlPr>
          </m:fPr>
          <m:num>
            <m:r>
              <w:rPr>
                <w:rFonts w:ascii="Cambria Math" w:hAnsi="Cambria Math"/>
              </w:rPr>
              <m:t xml:space="preserve">Abs. Kontrol </m:t>
            </m:r>
            <m:d>
              <m:dPr>
                <m:ctrlPr>
                  <w:rPr>
                    <w:rFonts w:ascii="Cambria Math" w:hAnsi="Cambria Math"/>
                    <w:bCs/>
                    <w:i/>
                  </w:rPr>
                </m:ctrlPr>
              </m:dPr>
              <m:e>
                <m:r>
                  <w:rPr>
                    <w:rFonts w:ascii="Cambria Math" w:hAnsi="Cambria Math"/>
                  </w:rPr>
                  <m:t>λ</m:t>
                </m:r>
              </m:e>
            </m:d>
            <m:r>
              <w:rPr>
                <w:rFonts w:ascii="Cambria Math" w:hAnsi="Cambria Math"/>
              </w:rPr>
              <m:t>-Abs. Uji (λ)</m:t>
            </m:r>
          </m:num>
          <m:den>
            <m:r>
              <w:rPr>
                <w:rFonts w:ascii="Cambria Math" w:hAnsi="Cambria Math"/>
              </w:rPr>
              <m:t xml:space="preserve">Abs. Kontrol </m:t>
            </m:r>
            <m:d>
              <m:dPr>
                <m:ctrlPr>
                  <w:rPr>
                    <w:rFonts w:ascii="Cambria Math" w:hAnsi="Cambria Math"/>
                    <w:bCs/>
                    <w:i/>
                  </w:rPr>
                </m:ctrlPr>
              </m:dPr>
              <m:e>
                <m:r>
                  <w:rPr>
                    <w:rFonts w:ascii="Cambria Math" w:hAnsi="Cambria Math"/>
                  </w:rPr>
                  <m:t>λ</m:t>
                </m:r>
              </m:e>
            </m:d>
          </m:den>
        </m:f>
        <m:r>
          <w:rPr>
            <w:rFonts w:ascii="Cambria Math" w:hAnsi="Cambria Math"/>
          </w:rPr>
          <m:t xml:space="preserve"> × 100%</m:t>
        </m:r>
      </m:oMath>
    </w:p>
    <w:p w14:paraId="21E7D172" w14:textId="77777777" w:rsidR="00EA07F3" w:rsidRPr="00EA07F3" w:rsidRDefault="00EA07F3" w:rsidP="00EA07F3">
      <w:pPr>
        <w:spacing w:before="100" w:beforeAutospacing="1" w:after="100" w:afterAutospacing="1"/>
      </w:pPr>
      <w:r w:rsidRPr="00EA07F3">
        <w:rPr>
          <w:b/>
          <w:bCs/>
        </w:rPr>
        <w:t>Notes:</w:t>
      </w:r>
    </w:p>
    <w:p w14:paraId="555ABA3C" w14:textId="77777777" w:rsidR="00EA07F3" w:rsidRPr="00EA07F3" w:rsidRDefault="00EA07F3" w:rsidP="00EA07F3">
      <w:pPr>
        <w:numPr>
          <w:ilvl w:val="0"/>
          <w:numId w:val="3"/>
        </w:numPr>
        <w:spacing w:before="100" w:beforeAutospacing="1" w:after="100" w:afterAutospacing="1"/>
      </w:pPr>
      <w:r w:rsidRPr="00EA07F3">
        <w:rPr>
          <w:b/>
          <w:bCs/>
        </w:rPr>
        <w:t>Abs. Control</w:t>
      </w:r>
      <w:r w:rsidRPr="00EA07F3">
        <w:t xml:space="preserve"> = Absorbance of control</w:t>
      </w:r>
    </w:p>
    <w:p w14:paraId="14A77601" w14:textId="77777777" w:rsidR="00EA07F3" w:rsidRPr="00EA07F3" w:rsidRDefault="00EA07F3" w:rsidP="00EA07F3">
      <w:pPr>
        <w:numPr>
          <w:ilvl w:val="0"/>
          <w:numId w:val="3"/>
        </w:numPr>
        <w:spacing w:before="100" w:beforeAutospacing="1" w:after="100" w:afterAutospacing="1"/>
      </w:pPr>
      <w:r w:rsidRPr="00EA07F3">
        <w:rPr>
          <w:b/>
          <w:bCs/>
        </w:rPr>
        <w:t>Abs. Sample</w:t>
      </w:r>
      <w:r w:rsidRPr="00EA07F3">
        <w:t xml:space="preserve"> = Absorbance of sample</w:t>
      </w:r>
    </w:p>
    <w:p w14:paraId="7766AE8B" w14:textId="77777777" w:rsidR="00EA07F3" w:rsidRPr="00EA07F3" w:rsidRDefault="00EA07F3" w:rsidP="00EA07F3">
      <w:pPr>
        <w:spacing w:before="100" w:beforeAutospacing="1" w:after="100" w:afterAutospacing="1"/>
      </w:pPr>
      <w:r w:rsidRPr="00EA07F3">
        <w:t xml:space="preserve">The </w:t>
      </w:r>
      <w:r w:rsidRPr="00EA07F3">
        <w:rPr>
          <w:b/>
          <w:bCs/>
        </w:rPr>
        <w:t>Inhibitory Concentration (IC₅₀)</w:t>
      </w:r>
      <w:r w:rsidRPr="00EA07F3">
        <w:t xml:space="preserve"> represents the antioxidant concentration required to inhibit 50% of ABTS radical activity. The IC₅₀ value was calculated using the linear regression equation </w:t>
      </w:r>
      <w:r w:rsidRPr="00EA07F3">
        <w:rPr>
          <w:i/>
          <w:iCs/>
        </w:rPr>
        <w:t xml:space="preserve">y = </w:t>
      </w:r>
      <w:proofErr w:type="spellStart"/>
      <w:r w:rsidRPr="00EA07F3">
        <w:rPr>
          <w:i/>
          <w:iCs/>
        </w:rPr>
        <w:t>ax</w:t>
      </w:r>
      <w:proofErr w:type="spellEnd"/>
      <w:r w:rsidRPr="00EA07F3">
        <w:rPr>
          <w:i/>
          <w:iCs/>
        </w:rPr>
        <w:t xml:space="preserve"> + b</w:t>
      </w:r>
      <w:r w:rsidRPr="00EA07F3">
        <w:t xml:space="preserve">, where </w:t>
      </w:r>
      <w:r w:rsidRPr="00EA07F3">
        <w:rPr>
          <w:i/>
          <w:iCs/>
        </w:rPr>
        <w:t>y</w:t>
      </w:r>
      <w:r w:rsidRPr="00EA07F3">
        <w:t xml:space="preserve"> is the percentage of antioxidant activity and </w:t>
      </w:r>
      <w:r w:rsidRPr="00EA07F3">
        <w:rPr>
          <w:i/>
          <w:iCs/>
        </w:rPr>
        <w:t>x</w:t>
      </w:r>
      <w:r w:rsidRPr="00EA07F3">
        <w:t xml:space="preserve"> is the antioxidant concentration (</w:t>
      </w:r>
      <w:proofErr w:type="spellStart"/>
      <w:r w:rsidRPr="00EA07F3">
        <w:t>μg</w:t>
      </w:r>
      <w:proofErr w:type="spellEnd"/>
      <w:r w:rsidRPr="00EA07F3">
        <w:t xml:space="preserve">/mL). The value 50 was inserted for </w:t>
      </w:r>
      <w:r w:rsidRPr="00EA07F3">
        <w:rPr>
          <w:i/>
          <w:iCs/>
        </w:rPr>
        <w:t>y</w:t>
      </w:r>
      <w:r w:rsidRPr="00EA07F3">
        <w:t xml:space="preserve"> to determine the corresponding </w:t>
      </w:r>
      <w:r w:rsidRPr="00EA07F3">
        <w:rPr>
          <w:i/>
          <w:iCs/>
        </w:rPr>
        <w:t>x</w:t>
      </w:r>
      <w:r w:rsidRPr="00EA07F3">
        <w:t>, which is the IC₅₀.</w:t>
      </w:r>
    </w:p>
    <w:p w14:paraId="7F142883" w14:textId="77777777" w:rsidR="00EA07F3" w:rsidRDefault="00EA07F3" w:rsidP="00EA07F3">
      <w:pPr>
        <w:spacing w:line="360" w:lineRule="auto"/>
        <w:jc w:val="both"/>
        <w:rPr>
          <w:color w:val="0070C0"/>
        </w:rPr>
      </w:pPr>
    </w:p>
    <w:tbl>
      <w:tblPr>
        <w:tblStyle w:val="TableGrid"/>
        <w:tblW w:w="0" w:type="auto"/>
        <w:tblLook w:val="04A0" w:firstRow="1" w:lastRow="0" w:firstColumn="1" w:lastColumn="0" w:noHBand="0" w:noVBand="1"/>
      </w:tblPr>
      <w:tblGrid>
        <w:gridCol w:w="1364"/>
        <w:gridCol w:w="1226"/>
        <w:gridCol w:w="1227"/>
        <w:gridCol w:w="1227"/>
        <w:gridCol w:w="1230"/>
        <w:gridCol w:w="1239"/>
        <w:gridCol w:w="1242"/>
      </w:tblGrid>
      <w:tr w:rsidR="00EA07F3" w:rsidRPr="00A176F2" w14:paraId="787F4C66" w14:textId="77777777" w:rsidTr="00E611F6">
        <w:tc>
          <w:tcPr>
            <w:tcW w:w="8755" w:type="dxa"/>
            <w:gridSpan w:val="7"/>
            <w:tcBorders>
              <w:top w:val="nil"/>
              <w:left w:val="nil"/>
              <w:bottom w:val="single" w:sz="4" w:space="0" w:color="auto"/>
              <w:right w:val="nil"/>
            </w:tcBorders>
          </w:tcPr>
          <w:p w14:paraId="09EA31A5"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Tabel </w:t>
            </w:r>
            <w:proofErr w:type="spellStart"/>
            <w:r w:rsidRPr="00A176F2">
              <w:rPr>
                <w:color w:val="000000" w:themeColor="text1"/>
                <w:sz w:val="24"/>
                <w:szCs w:val="24"/>
              </w:rPr>
              <w:t>Absorbansi</w:t>
            </w:r>
            <w:proofErr w:type="spellEnd"/>
            <w:r w:rsidRPr="00A176F2">
              <w:rPr>
                <w:color w:val="000000" w:themeColor="text1"/>
                <w:sz w:val="24"/>
                <w:szCs w:val="24"/>
              </w:rPr>
              <w:t xml:space="preserve"> dan Hasil Uji ABTS </w:t>
            </w:r>
            <w:proofErr w:type="spellStart"/>
            <w:r w:rsidRPr="00A176F2">
              <w:rPr>
                <w:color w:val="000000" w:themeColor="text1"/>
                <w:sz w:val="24"/>
                <w:szCs w:val="24"/>
              </w:rPr>
              <w:t>Ekstrak</w:t>
            </w:r>
            <w:proofErr w:type="spellEnd"/>
            <w:r w:rsidRPr="00A176F2">
              <w:rPr>
                <w:color w:val="000000" w:themeColor="text1"/>
                <w:sz w:val="24"/>
                <w:szCs w:val="24"/>
              </w:rPr>
              <w:t xml:space="preserve"> Akar Kayu Kuning</w:t>
            </w:r>
          </w:p>
        </w:tc>
      </w:tr>
      <w:tr w:rsidR="00EA07F3" w:rsidRPr="00A176F2" w14:paraId="52D61505" w14:textId="77777777" w:rsidTr="00E611F6">
        <w:tc>
          <w:tcPr>
            <w:tcW w:w="1364" w:type="dxa"/>
            <w:tcBorders>
              <w:top w:val="single" w:sz="4" w:space="0" w:color="auto"/>
              <w:left w:val="nil"/>
              <w:bottom w:val="single" w:sz="4" w:space="0" w:color="auto"/>
              <w:right w:val="nil"/>
            </w:tcBorders>
          </w:tcPr>
          <w:p w14:paraId="46A2CD81" w14:textId="77777777" w:rsidR="00EA07F3" w:rsidRPr="00A176F2" w:rsidRDefault="00EA07F3" w:rsidP="00E611F6">
            <w:pPr>
              <w:spacing w:line="360" w:lineRule="auto"/>
              <w:jc w:val="center"/>
              <w:rPr>
                <w:color w:val="000000" w:themeColor="text1"/>
                <w:sz w:val="24"/>
                <w:szCs w:val="24"/>
              </w:rPr>
            </w:pPr>
            <w:proofErr w:type="spellStart"/>
            <w:r w:rsidRPr="00A176F2">
              <w:rPr>
                <w:color w:val="000000" w:themeColor="text1"/>
                <w:sz w:val="24"/>
                <w:szCs w:val="24"/>
              </w:rPr>
              <w:t>Konsentrasi</w:t>
            </w:r>
            <w:proofErr w:type="spellEnd"/>
            <w:r w:rsidRPr="00A176F2">
              <w:rPr>
                <w:color w:val="000000" w:themeColor="text1"/>
                <w:sz w:val="24"/>
                <w:szCs w:val="24"/>
              </w:rPr>
              <w:t xml:space="preserve"> </w:t>
            </w:r>
            <w:proofErr w:type="spellStart"/>
            <w:r w:rsidRPr="00A176F2">
              <w:rPr>
                <w:color w:val="000000" w:themeColor="text1"/>
                <w:sz w:val="24"/>
                <w:szCs w:val="24"/>
              </w:rPr>
              <w:t>Ekstrak</w:t>
            </w:r>
            <w:proofErr w:type="spellEnd"/>
          </w:p>
        </w:tc>
        <w:tc>
          <w:tcPr>
            <w:tcW w:w="1226" w:type="dxa"/>
            <w:tcBorders>
              <w:top w:val="single" w:sz="4" w:space="0" w:color="auto"/>
              <w:left w:val="nil"/>
              <w:bottom w:val="single" w:sz="4" w:space="0" w:color="auto"/>
              <w:right w:val="nil"/>
            </w:tcBorders>
          </w:tcPr>
          <w:p w14:paraId="6EB2AFA4"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Abs. A</w:t>
            </w:r>
          </w:p>
        </w:tc>
        <w:tc>
          <w:tcPr>
            <w:tcW w:w="1227" w:type="dxa"/>
            <w:tcBorders>
              <w:top w:val="single" w:sz="4" w:space="0" w:color="auto"/>
              <w:left w:val="nil"/>
              <w:bottom w:val="single" w:sz="4" w:space="0" w:color="auto"/>
              <w:right w:val="nil"/>
            </w:tcBorders>
          </w:tcPr>
          <w:p w14:paraId="5809285A"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Abs. B</w:t>
            </w:r>
          </w:p>
        </w:tc>
        <w:tc>
          <w:tcPr>
            <w:tcW w:w="1227" w:type="dxa"/>
            <w:tcBorders>
              <w:top w:val="single" w:sz="4" w:space="0" w:color="auto"/>
              <w:left w:val="nil"/>
              <w:bottom w:val="single" w:sz="4" w:space="0" w:color="auto"/>
              <w:right w:val="nil"/>
            </w:tcBorders>
          </w:tcPr>
          <w:p w14:paraId="725DF59C"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Abs. C</w:t>
            </w:r>
          </w:p>
        </w:tc>
        <w:tc>
          <w:tcPr>
            <w:tcW w:w="1230" w:type="dxa"/>
            <w:tcBorders>
              <w:top w:val="single" w:sz="4" w:space="0" w:color="auto"/>
              <w:left w:val="nil"/>
              <w:bottom w:val="single" w:sz="4" w:space="0" w:color="auto"/>
              <w:right w:val="nil"/>
            </w:tcBorders>
          </w:tcPr>
          <w:p w14:paraId="19A4579D"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Abs. Rata-rata</w:t>
            </w:r>
          </w:p>
        </w:tc>
        <w:tc>
          <w:tcPr>
            <w:tcW w:w="1239" w:type="dxa"/>
            <w:tcBorders>
              <w:top w:val="single" w:sz="4" w:space="0" w:color="auto"/>
              <w:left w:val="nil"/>
              <w:bottom w:val="single" w:sz="4" w:space="0" w:color="auto"/>
              <w:right w:val="nil"/>
            </w:tcBorders>
          </w:tcPr>
          <w:p w14:paraId="50C1D1C4"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 </w:t>
            </w:r>
          </w:p>
          <w:p w14:paraId="36991ABB" w14:textId="77777777" w:rsidR="00EA07F3" w:rsidRPr="00A176F2" w:rsidRDefault="00EA07F3" w:rsidP="00E611F6">
            <w:pPr>
              <w:spacing w:line="360" w:lineRule="auto"/>
              <w:jc w:val="center"/>
              <w:rPr>
                <w:color w:val="000000" w:themeColor="text1"/>
                <w:sz w:val="24"/>
                <w:szCs w:val="24"/>
              </w:rPr>
            </w:pPr>
            <w:proofErr w:type="spellStart"/>
            <w:r w:rsidRPr="00A176F2">
              <w:rPr>
                <w:color w:val="000000" w:themeColor="text1"/>
                <w:sz w:val="24"/>
                <w:szCs w:val="24"/>
              </w:rPr>
              <w:t>Inhibisi</w:t>
            </w:r>
            <w:proofErr w:type="spellEnd"/>
          </w:p>
        </w:tc>
        <w:tc>
          <w:tcPr>
            <w:tcW w:w="1242" w:type="dxa"/>
            <w:tcBorders>
              <w:top w:val="single" w:sz="4" w:space="0" w:color="auto"/>
              <w:left w:val="nil"/>
              <w:bottom w:val="single" w:sz="4" w:space="0" w:color="auto"/>
              <w:right w:val="nil"/>
            </w:tcBorders>
          </w:tcPr>
          <w:p w14:paraId="2AA33933" w14:textId="77777777" w:rsidR="00EA07F3" w:rsidRPr="00A176F2" w:rsidRDefault="00EA07F3" w:rsidP="00E611F6">
            <w:pPr>
              <w:spacing w:line="360" w:lineRule="auto"/>
              <w:jc w:val="center"/>
              <w:rPr>
                <w:color w:val="000000" w:themeColor="text1"/>
                <w:sz w:val="24"/>
                <w:szCs w:val="24"/>
              </w:rPr>
            </w:pPr>
            <w:r w:rsidRPr="00A176F2">
              <w:rPr>
                <w:bCs/>
                <w:sz w:val="24"/>
                <w:szCs w:val="24"/>
              </w:rPr>
              <w:t>IC</w:t>
            </w:r>
            <w:r w:rsidRPr="00A176F2">
              <w:rPr>
                <w:bCs/>
                <w:sz w:val="24"/>
                <w:szCs w:val="24"/>
                <w:vertAlign w:val="subscript"/>
              </w:rPr>
              <w:t xml:space="preserve">50 </w:t>
            </w:r>
            <w:r w:rsidRPr="00A176F2">
              <w:rPr>
                <w:bCs/>
                <w:sz w:val="24"/>
                <w:szCs w:val="24"/>
              </w:rPr>
              <w:t>(</w:t>
            </w:r>
            <w:proofErr w:type="spellStart"/>
            <w:r w:rsidRPr="00A176F2">
              <w:rPr>
                <w:bCs/>
                <w:sz w:val="24"/>
                <w:szCs w:val="24"/>
              </w:rPr>
              <w:t>μg</w:t>
            </w:r>
            <w:proofErr w:type="spellEnd"/>
            <w:r w:rsidRPr="00A176F2">
              <w:rPr>
                <w:bCs/>
                <w:sz w:val="24"/>
                <w:szCs w:val="24"/>
              </w:rPr>
              <w:t>/mL)</w:t>
            </w:r>
          </w:p>
        </w:tc>
      </w:tr>
      <w:tr w:rsidR="00EA07F3" w:rsidRPr="00A176F2" w14:paraId="74CED66B" w14:textId="77777777" w:rsidTr="00E611F6">
        <w:tc>
          <w:tcPr>
            <w:tcW w:w="1364" w:type="dxa"/>
            <w:tcBorders>
              <w:top w:val="single" w:sz="4" w:space="0" w:color="auto"/>
              <w:left w:val="nil"/>
              <w:bottom w:val="nil"/>
              <w:right w:val="nil"/>
            </w:tcBorders>
            <w:vAlign w:val="center"/>
          </w:tcPr>
          <w:p w14:paraId="79F14332"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10</w:t>
            </w:r>
          </w:p>
        </w:tc>
        <w:tc>
          <w:tcPr>
            <w:tcW w:w="1226" w:type="dxa"/>
            <w:tcBorders>
              <w:top w:val="single" w:sz="4" w:space="0" w:color="auto"/>
              <w:left w:val="nil"/>
              <w:bottom w:val="nil"/>
              <w:right w:val="nil"/>
            </w:tcBorders>
          </w:tcPr>
          <w:p w14:paraId="37ABC1F6"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0,332</w:t>
            </w:r>
          </w:p>
        </w:tc>
        <w:tc>
          <w:tcPr>
            <w:tcW w:w="1227" w:type="dxa"/>
            <w:tcBorders>
              <w:top w:val="single" w:sz="4" w:space="0" w:color="auto"/>
              <w:left w:val="nil"/>
              <w:bottom w:val="nil"/>
              <w:right w:val="nil"/>
            </w:tcBorders>
          </w:tcPr>
          <w:p w14:paraId="533CCA51"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0,337</w:t>
            </w:r>
          </w:p>
        </w:tc>
        <w:tc>
          <w:tcPr>
            <w:tcW w:w="1227" w:type="dxa"/>
            <w:tcBorders>
              <w:top w:val="single" w:sz="4" w:space="0" w:color="auto"/>
              <w:left w:val="nil"/>
              <w:bottom w:val="nil"/>
              <w:right w:val="nil"/>
            </w:tcBorders>
          </w:tcPr>
          <w:p w14:paraId="5E2A57FF"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0,342</w:t>
            </w:r>
          </w:p>
        </w:tc>
        <w:tc>
          <w:tcPr>
            <w:tcW w:w="1230" w:type="dxa"/>
            <w:tcBorders>
              <w:top w:val="single" w:sz="4" w:space="0" w:color="auto"/>
              <w:left w:val="nil"/>
              <w:bottom w:val="nil"/>
              <w:right w:val="nil"/>
            </w:tcBorders>
            <w:vAlign w:val="center"/>
          </w:tcPr>
          <w:p w14:paraId="197EB1EC"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0,337</w:t>
            </w:r>
          </w:p>
        </w:tc>
        <w:tc>
          <w:tcPr>
            <w:tcW w:w="1239" w:type="dxa"/>
            <w:tcBorders>
              <w:top w:val="single" w:sz="4" w:space="0" w:color="auto"/>
              <w:left w:val="nil"/>
              <w:bottom w:val="nil"/>
              <w:right w:val="nil"/>
            </w:tcBorders>
            <w:vAlign w:val="center"/>
          </w:tcPr>
          <w:p w14:paraId="2C7C6DDF"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18,005 </w:t>
            </w:r>
          </w:p>
        </w:tc>
        <w:tc>
          <w:tcPr>
            <w:tcW w:w="1242" w:type="dxa"/>
            <w:vMerge w:val="restart"/>
            <w:tcBorders>
              <w:top w:val="single" w:sz="4" w:space="0" w:color="auto"/>
              <w:left w:val="nil"/>
              <w:right w:val="nil"/>
            </w:tcBorders>
            <w:vAlign w:val="center"/>
          </w:tcPr>
          <w:p w14:paraId="3C8FD443"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21,99</w:t>
            </w:r>
          </w:p>
        </w:tc>
      </w:tr>
      <w:tr w:rsidR="00EA07F3" w:rsidRPr="00A176F2" w14:paraId="2F267B4C" w14:textId="77777777" w:rsidTr="00E611F6">
        <w:tc>
          <w:tcPr>
            <w:tcW w:w="1364" w:type="dxa"/>
            <w:tcBorders>
              <w:top w:val="nil"/>
              <w:left w:val="nil"/>
              <w:bottom w:val="nil"/>
              <w:right w:val="nil"/>
            </w:tcBorders>
            <w:vAlign w:val="center"/>
          </w:tcPr>
          <w:p w14:paraId="3E04BD09"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15</w:t>
            </w:r>
          </w:p>
        </w:tc>
        <w:tc>
          <w:tcPr>
            <w:tcW w:w="1226" w:type="dxa"/>
            <w:tcBorders>
              <w:top w:val="nil"/>
              <w:left w:val="nil"/>
              <w:bottom w:val="nil"/>
              <w:right w:val="nil"/>
            </w:tcBorders>
          </w:tcPr>
          <w:p w14:paraId="56D4C6FA"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0,310</w:t>
            </w:r>
          </w:p>
        </w:tc>
        <w:tc>
          <w:tcPr>
            <w:tcW w:w="1227" w:type="dxa"/>
            <w:tcBorders>
              <w:top w:val="nil"/>
              <w:left w:val="nil"/>
              <w:bottom w:val="nil"/>
              <w:right w:val="nil"/>
            </w:tcBorders>
          </w:tcPr>
          <w:p w14:paraId="3BE25450"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0,316</w:t>
            </w:r>
          </w:p>
        </w:tc>
        <w:tc>
          <w:tcPr>
            <w:tcW w:w="1227" w:type="dxa"/>
            <w:tcBorders>
              <w:top w:val="nil"/>
              <w:left w:val="nil"/>
              <w:bottom w:val="nil"/>
              <w:right w:val="nil"/>
            </w:tcBorders>
          </w:tcPr>
          <w:p w14:paraId="74C965B0"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0,316</w:t>
            </w:r>
          </w:p>
        </w:tc>
        <w:tc>
          <w:tcPr>
            <w:tcW w:w="1230" w:type="dxa"/>
            <w:tcBorders>
              <w:top w:val="nil"/>
              <w:left w:val="nil"/>
              <w:bottom w:val="nil"/>
              <w:right w:val="nil"/>
            </w:tcBorders>
            <w:vAlign w:val="center"/>
          </w:tcPr>
          <w:p w14:paraId="6D4F0EF7"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0,314</w:t>
            </w:r>
          </w:p>
        </w:tc>
        <w:tc>
          <w:tcPr>
            <w:tcW w:w="1239" w:type="dxa"/>
            <w:tcBorders>
              <w:top w:val="nil"/>
              <w:left w:val="nil"/>
              <w:bottom w:val="nil"/>
              <w:right w:val="nil"/>
            </w:tcBorders>
            <w:vAlign w:val="center"/>
          </w:tcPr>
          <w:p w14:paraId="0CFE0781"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23,601 </w:t>
            </w:r>
          </w:p>
        </w:tc>
        <w:tc>
          <w:tcPr>
            <w:tcW w:w="1242" w:type="dxa"/>
            <w:vMerge/>
            <w:tcBorders>
              <w:left w:val="nil"/>
              <w:right w:val="nil"/>
            </w:tcBorders>
          </w:tcPr>
          <w:p w14:paraId="08729764" w14:textId="77777777" w:rsidR="00EA07F3" w:rsidRPr="00A176F2" w:rsidRDefault="00EA07F3" w:rsidP="00E611F6">
            <w:pPr>
              <w:spacing w:line="360" w:lineRule="auto"/>
              <w:jc w:val="center"/>
              <w:rPr>
                <w:color w:val="000000" w:themeColor="text1"/>
                <w:sz w:val="24"/>
                <w:szCs w:val="24"/>
              </w:rPr>
            </w:pPr>
          </w:p>
        </w:tc>
      </w:tr>
      <w:tr w:rsidR="00EA07F3" w:rsidRPr="00A176F2" w14:paraId="1AE60FD5" w14:textId="77777777" w:rsidTr="00E611F6">
        <w:tc>
          <w:tcPr>
            <w:tcW w:w="1364" w:type="dxa"/>
            <w:tcBorders>
              <w:top w:val="nil"/>
              <w:left w:val="nil"/>
              <w:bottom w:val="nil"/>
              <w:right w:val="nil"/>
            </w:tcBorders>
            <w:vAlign w:val="center"/>
          </w:tcPr>
          <w:p w14:paraId="7254CD47"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20</w:t>
            </w:r>
          </w:p>
        </w:tc>
        <w:tc>
          <w:tcPr>
            <w:tcW w:w="1226" w:type="dxa"/>
            <w:tcBorders>
              <w:top w:val="nil"/>
              <w:left w:val="nil"/>
              <w:bottom w:val="nil"/>
              <w:right w:val="nil"/>
            </w:tcBorders>
          </w:tcPr>
          <w:p w14:paraId="3A53FF40"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0,224</w:t>
            </w:r>
          </w:p>
        </w:tc>
        <w:tc>
          <w:tcPr>
            <w:tcW w:w="1227" w:type="dxa"/>
            <w:tcBorders>
              <w:top w:val="nil"/>
              <w:left w:val="nil"/>
              <w:bottom w:val="nil"/>
              <w:right w:val="nil"/>
            </w:tcBorders>
          </w:tcPr>
          <w:p w14:paraId="437407A7"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0,220</w:t>
            </w:r>
          </w:p>
        </w:tc>
        <w:tc>
          <w:tcPr>
            <w:tcW w:w="1227" w:type="dxa"/>
            <w:tcBorders>
              <w:top w:val="nil"/>
              <w:left w:val="nil"/>
              <w:bottom w:val="nil"/>
              <w:right w:val="nil"/>
            </w:tcBorders>
          </w:tcPr>
          <w:p w14:paraId="55565D7F"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0,216</w:t>
            </w:r>
          </w:p>
        </w:tc>
        <w:tc>
          <w:tcPr>
            <w:tcW w:w="1230" w:type="dxa"/>
            <w:tcBorders>
              <w:top w:val="nil"/>
              <w:left w:val="nil"/>
              <w:bottom w:val="nil"/>
              <w:right w:val="nil"/>
            </w:tcBorders>
            <w:vAlign w:val="center"/>
          </w:tcPr>
          <w:p w14:paraId="6D4DA414"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0,220</w:t>
            </w:r>
          </w:p>
        </w:tc>
        <w:tc>
          <w:tcPr>
            <w:tcW w:w="1239" w:type="dxa"/>
            <w:tcBorders>
              <w:top w:val="nil"/>
              <w:left w:val="nil"/>
              <w:bottom w:val="nil"/>
              <w:right w:val="nil"/>
            </w:tcBorders>
            <w:vAlign w:val="center"/>
          </w:tcPr>
          <w:p w14:paraId="569C9664"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46,472 </w:t>
            </w:r>
          </w:p>
        </w:tc>
        <w:tc>
          <w:tcPr>
            <w:tcW w:w="1242" w:type="dxa"/>
            <w:vMerge/>
            <w:tcBorders>
              <w:left w:val="nil"/>
              <w:right w:val="nil"/>
            </w:tcBorders>
          </w:tcPr>
          <w:p w14:paraId="50424F39" w14:textId="77777777" w:rsidR="00EA07F3" w:rsidRPr="00A176F2" w:rsidRDefault="00EA07F3" w:rsidP="00E611F6">
            <w:pPr>
              <w:spacing w:line="360" w:lineRule="auto"/>
              <w:jc w:val="center"/>
              <w:rPr>
                <w:color w:val="000000" w:themeColor="text1"/>
                <w:sz w:val="24"/>
                <w:szCs w:val="24"/>
              </w:rPr>
            </w:pPr>
          </w:p>
        </w:tc>
      </w:tr>
      <w:tr w:rsidR="00EA07F3" w:rsidRPr="00A176F2" w14:paraId="52E93E4B" w14:textId="77777777" w:rsidTr="00E611F6">
        <w:tc>
          <w:tcPr>
            <w:tcW w:w="1364" w:type="dxa"/>
            <w:tcBorders>
              <w:top w:val="nil"/>
              <w:left w:val="nil"/>
              <w:bottom w:val="nil"/>
              <w:right w:val="nil"/>
            </w:tcBorders>
            <w:vAlign w:val="center"/>
          </w:tcPr>
          <w:p w14:paraId="06FA14DB"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25</w:t>
            </w:r>
          </w:p>
        </w:tc>
        <w:tc>
          <w:tcPr>
            <w:tcW w:w="1226" w:type="dxa"/>
            <w:tcBorders>
              <w:top w:val="nil"/>
              <w:left w:val="nil"/>
              <w:bottom w:val="nil"/>
              <w:right w:val="nil"/>
            </w:tcBorders>
          </w:tcPr>
          <w:p w14:paraId="42FECB0F"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0,191</w:t>
            </w:r>
          </w:p>
        </w:tc>
        <w:tc>
          <w:tcPr>
            <w:tcW w:w="1227" w:type="dxa"/>
            <w:tcBorders>
              <w:top w:val="nil"/>
              <w:left w:val="nil"/>
              <w:bottom w:val="nil"/>
              <w:right w:val="nil"/>
            </w:tcBorders>
          </w:tcPr>
          <w:p w14:paraId="43C0CC73"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0,187</w:t>
            </w:r>
          </w:p>
        </w:tc>
        <w:tc>
          <w:tcPr>
            <w:tcW w:w="1227" w:type="dxa"/>
            <w:tcBorders>
              <w:top w:val="nil"/>
              <w:left w:val="nil"/>
              <w:bottom w:val="nil"/>
              <w:right w:val="nil"/>
            </w:tcBorders>
          </w:tcPr>
          <w:p w14:paraId="567034FD"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0,183</w:t>
            </w:r>
          </w:p>
        </w:tc>
        <w:tc>
          <w:tcPr>
            <w:tcW w:w="1230" w:type="dxa"/>
            <w:tcBorders>
              <w:top w:val="nil"/>
              <w:left w:val="nil"/>
              <w:bottom w:val="nil"/>
              <w:right w:val="nil"/>
            </w:tcBorders>
            <w:vAlign w:val="center"/>
          </w:tcPr>
          <w:p w14:paraId="29ADA641"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0,187</w:t>
            </w:r>
          </w:p>
        </w:tc>
        <w:tc>
          <w:tcPr>
            <w:tcW w:w="1239" w:type="dxa"/>
            <w:tcBorders>
              <w:top w:val="nil"/>
              <w:left w:val="nil"/>
              <w:bottom w:val="nil"/>
              <w:right w:val="nil"/>
            </w:tcBorders>
            <w:vAlign w:val="center"/>
          </w:tcPr>
          <w:p w14:paraId="05CFC503"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54,501 </w:t>
            </w:r>
          </w:p>
        </w:tc>
        <w:tc>
          <w:tcPr>
            <w:tcW w:w="1242" w:type="dxa"/>
            <w:vMerge/>
            <w:tcBorders>
              <w:left w:val="nil"/>
              <w:right w:val="nil"/>
            </w:tcBorders>
          </w:tcPr>
          <w:p w14:paraId="0EC5BCD0" w14:textId="77777777" w:rsidR="00EA07F3" w:rsidRPr="00A176F2" w:rsidRDefault="00EA07F3" w:rsidP="00E611F6">
            <w:pPr>
              <w:spacing w:line="360" w:lineRule="auto"/>
              <w:jc w:val="center"/>
              <w:rPr>
                <w:color w:val="000000" w:themeColor="text1"/>
                <w:sz w:val="24"/>
                <w:szCs w:val="24"/>
              </w:rPr>
            </w:pPr>
          </w:p>
        </w:tc>
      </w:tr>
      <w:tr w:rsidR="00EA07F3" w:rsidRPr="00A176F2" w14:paraId="70BBF7C1" w14:textId="77777777" w:rsidTr="00E611F6">
        <w:tc>
          <w:tcPr>
            <w:tcW w:w="1364" w:type="dxa"/>
            <w:tcBorders>
              <w:top w:val="nil"/>
              <w:left w:val="nil"/>
              <w:bottom w:val="single" w:sz="4" w:space="0" w:color="auto"/>
              <w:right w:val="nil"/>
            </w:tcBorders>
            <w:vAlign w:val="center"/>
          </w:tcPr>
          <w:p w14:paraId="5907AF11"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30</w:t>
            </w:r>
          </w:p>
        </w:tc>
        <w:tc>
          <w:tcPr>
            <w:tcW w:w="1226" w:type="dxa"/>
            <w:tcBorders>
              <w:top w:val="nil"/>
              <w:left w:val="nil"/>
              <w:bottom w:val="single" w:sz="4" w:space="0" w:color="auto"/>
              <w:right w:val="nil"/>
            </w:tcBorders>
          </w:tcPr>
          <w:p w14:paraId="16D407A1"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0,096</w:t>
            </w:r>
          </w:p>
        </w:tc>
        <w:tc>
          <w:tcPr>
            <w:tcW w:w="1227" w:type="dxa"/>
            <w:tcBorders>
              <w:top w:val="nil"/>
              <w:left w:val="nil"/>
              <w:bottom w:val="single" w:sz="4" w:space="0" w:color="auto"/>
              <w:right w:val="nil"/>
            </w:tcBorders>
          </w:tcPr>
          <w:p w14:paraId="5F3566E8"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0,092</w:t>
            </w:r>
          </w:p>
        </w:tc>
        <w:tc>
          <w:tcPr>
            <w:tcW w:w="1227" w:type="dxa"/>
            <w:tcBorders>
              <w:top w:val="nil"/>
              <w:left w:val="nil"/>
              <w:bottom w:val="single" w:sz="4" w:space="0" w:color="auto"/>
              <w:right w:val="nil"/>
            </w:tcBorders>
          </w:tcPr>
          <w:p w14:paraId="1EB9ADB2"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0,088</w:t>
            </w:r>
          </w:p>
        </w:tc>
        <w:tc>
          <w:tcPr>
            <w:tcW w:w="1230" w:type="dxa"/>
            <w:tcBorders>
              <w:top w:val="nil"/>
              <w:left w:val="nil"/>
              <w:bottom w:val="single" w:sz="4" w:space="0" w:color="auto"/>
              <w:right w:val="nil"/>
            </w:tcBorders>
            <w:vAlign w:val="center"/>
          </w:tcPr>
          <w:p w14:paraId="54495038"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0,092</w:t>
            </w:r>
          </w:p>
        </w:tc>
        <w:tc>
          <w:tcPr>
            <w:tcW w:w="1239" w:type="dxa"/>
            <w:tcBorders>
              <w:top w:val="nil"/>
              <w:left w:val="nil"/>
              <w:bottom w:val="single" w:sz="4" w:space="0" w:color="auto"/>
              <w:right w:val="nil"/>
            </w:tcBorders>
            <w:vAlign w:val="center"/>
          </w:tcPr>
          <w:p w14:paraId="1B9743EC"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77,616 </w:t>
            </w:r>
          </w:p>
        </w:tc>
        <w:tc>
          <w:tcPr>
            <w:tcW w:w="1242" w:type="dxa"/>
            <w:vMerge/>
            <w:tcBorders>
              <w:left w:val="nil"/>
              <w:bottom w:val="single" w:sz="4" w:space="0" w:color="auto"/>
              <w:right w:val="nil"/>
            </w:tcBorders>
          </w:tcPr>
          <w:p w14:paraId="15156477" w14:textId="77777777" w:rsidR="00EA07F3" w:rsidRPr="00A176F2" w:rsidRDefault="00EA07F3" w:rsidP="00E611F6">
            <w:pPr>
              <w:spacing w:line="360" w:lineRule="auto"/>
              <w:jc w:val="center"/>
              <w:rPr>
                <w:color w:val="000000" w:themeColor="text1"/>
                <w:sz w:val="24"/>
                <w:szCs w:val="24"/>
              </w:rPr>
            </w:pPr>
          </w:p>
        </w:tc>
      </w:tr>
    </w:tbl>
    <w:p w14:paraId="761C8EBC" w14:textId="77777777" w:rsidR="00EA07F3" w:rsidRPr="00A176F2" w:rsidRDefault="00EA07F3" w:rsidP="00EA07F3">
      <w:pPr>
        <w:spacing w:line="360" w:lineRule="auto"/>
        <w:jc w:val="both"/>
        <w:rPr>
          <w:b/>
          <w:bCs/>
          <w:color w:val="000000" w:themeColor="text1"/>
        </w:rPr>
      </w:pPr>
    </w:p>
    <w:tbl>
      <w:tblPr>
        <w:tblStyle w:val="TableGrid"/>
        <w:tblW w:w="0" w:type="auto"/>
        <w:tblLook w:val="04A0" w:firstRow="1" w:lastRow="0" w:firstColumn="1" w:lastColumn="0" w:noHBand="0" w:noVBand="1"/>
      </w:tblPr>
      <w:tblGrid>
        <w:gridCol w:w="1364"/>
        <w:gridCol w:w="1226"/>
        <w:gridCol w:w="1227"/>
        <w:gridCol w:w="1227"/>
        <w:gridCol w:w="1230"/>
        <w:gridCol w:w="1239"/>
        <w:gridCol w:w="1242"/>
      </w:tblGrid>
      <w:tr w:rsidR="00EA07F3" w:rsidRPr="00A176F2" w14:paraId="5A14EC47" w14:textId="77777777" w:rsidTr="00E611F6">
        <w:tc>
          <w:tcPr>
            <w:tcW w:w="8755" w:type="dxa"/>
            <w:gridSpan w:val="7"/>
            <w:tcBorders>
              <w:top w:val="nil"/>
              <w:left w:val="nil"/>
              <w:bottom w:val="single" w:sz="4" w:space="0" w:color="auto"/>
              <w:right w:val="nil"/>
            </w:tcBorders>
          </w:tcPr>
          <w:p w14:paraId="409CCA97"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Tabel </w:t>
            </w:r>
            <w:proofErr w:type="spellStart"/>
            <w:r w:rsidRPr="00A176F2">
              <w:rPr>
                <w:color w:val="000000" w:themeColor="text1"/>
                <w:sz w:val="24"/>
                <w:szCs w:val="24"/>
              </w:rPr>
              <w:t>Absorbansi</w:t>
            </w:r>
            <w:proofErr w:type="spellEnd"/>
            <w:r w:rsidRPr="00A176F2">
              <w:rPr>
                <w:color w:val="000000" w:themeColor="text1"/>
                <w:sz w:val="24"/>
                <w:szCs w:val="24"/>
              </w:rPr>
              <w:t xml:space="preserve"> dan Hasil Uji Trolox ABTS </w:t>
            </w:r>
          </w:p>
        </w:tc>
      </w:tr>
      <w:tr w:rsidR="00EA07F3" w:rsidRPr="00A176F2" w14:paraId="4E2B8A80" w14:textId="77777777" w:rsidTr="00E611F6">
        <w:tc>
          <w:tcPr>
            <w:tcW w:w="1364" w:type="dxa"/>
            <w:tcBorders>
              <w:top w:val="single" w:sz="4" w:space="0" w:color="auto"/>
              <w:left w:val="nil"/>
              <w:bottom w:val="single" w:sz="4" w:space="0" w:color="auto"/>
              <w:right w:val="nil"/>
            </w:tcBorders>
          </w:tcPr>
          <w:p w14:paraId="6FB94F6F" w14:textId="77777777" w:rsidR="00EA07F3" w:rsidRPr="00A176F2" w:rsidRDefault="00EA07F3" w:rsidP="00E611F6">
            <w:pPr>
              <w:spacing w:line="360" w:lineRule="auto"/>
              <w:jc w:val="center"/>
              <w:rPr>
                <w:color w:val="000000" w:themeColor="text1"/>
                <w:sz w:val="24"/>
                <w:szCs w:val="24"/>
              </w:rPr>
            </w:pPr>
            <w:proofErr w:type="spellStart"/>
            <w:r w:rsidRPr="00A176F2">
              <w:rPr>
                <w:color w:val="000000" w:themeColor="text1"/>
                <w:sz w:val="24"/>
                <w:szCs w:val="24"/>
              </w:rPr>
              <w:t>Konsentrasi</w:t>
            </w:r>
            <w:proofErr w:type="spellEnd"/>
            <w:r w:rsidRPr="00A176F2">
              <w:rPr>
                <w:color w:val="000000" w:themeColor="text1"/>
                <w:sz w:val="24"/>
                <w:szCs w:val="24"/>
              </w:rPr>
              <w:t xml:space="preserve"> </w:t>
            </w:r>
            <w:proofErr w:type="spellStart"/>
            <w:r w:rsidRPr="00A176F2">
              <w:rPr>
                <w:color w:val="000000" w:themeColor="text1"/>
                <w:sz w:val="24"/>
                <w:szCs w:val="24"/>
              </w:rPr>
              <w:t>Ekstrak</w:t>
            </w:r>
            <w:proofErr w:type="spellEnd"/>
          </w:p>
        </w:tc>
        <w:tc>
          <w:tcPr>
            <w:tcW w:w="1226" w:type="dxa"/>
            <w:tcBorders>
              <w:top w:val="single" w:sz="4" w:space="0" w:color="auto"/>
              <w:left w:val="nil"/>
              <w:bottom w:val="single" w:sz="4" w:space="0" w:color="auto"/>
              <w:right w:val="nil"/>
            </w:tcBorders>
          </w:tcPr>
          <w:p w14:paraId="332947E4"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Abs. A</w:t>
            </w:r>
          </w:p>
        </w:tc>
        <w:tc>
          <w:tcPr>
            <w:tcW w:w="1227" w:type="dxa"/>
            <w:tcBorders>
              <w:top w:val="single" w:sz="4" w:space="0" w:color="auto"/>
              <w:left w:val="nil"/>
              <w:bottom w:val="single" w:sz="4" w:space="0" w:color="auto"/>
              <w:right w:val="nil"/>
            </w:tcBorders>
          </w:tcPr>
          <w:p w14:paraId="51B7C554"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Abs. B</w:t>
            </w:r>
          </w:p>
        </w:tc>
        <w:tc>
          <w:tcPr>
            <w:tcW w:w="1227" w:type="dxa"/>
            <w:tcBorders>
              <w:top w:val="single" w:sz="4" w:space="0" w:color="auto"/>
              <w:left w:val="nil"/>
              <w:bottom w:val="single" w:sz="4" w:space="0" w:color="auto"/>
              <w:right w:val="nil"/>
            </w:tcBorders>
          </w:tcPr>
          <w:p w14:paraId="1219F6A5"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Abs. C</w:t>
            </w:r>
          </w:p>
        </w:tc>
        <w:tc>
          <w:tcPr>
            <w:tcW w:w="1230" w:type="dxa"/>
            <w:tcBorders>
              <w:top w:val="single" w:sz="4" w:space="0" w:color="auto"/>
              <w:left w:val="nil"/>
              <w:bottom w:val="single" w:sz="4" w:space="0" w:color="auto"/>
              <w:right w:val="nil"/>
            </w:tcBorders>
          </w:tcPr>
          <w:p w14:paraId="0917C43A"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Abs. Rata-rata</w:t>
            </w:r>
          </w:p>
        </w:tc>
        <w:tc>
          <w:tcPr>
            <w:tcW w:w="1239" w:type="dxa"/>
            <w:tcBorders>
              <w:top w:val="single" w:sz="4" w:space="0" w:color="auto"/>
              <w:left w:val="nil"/>
              <w:bottom w:val="single" w:sz="4" w:space="0" w:color="auto"/>
              <w:right w:val="nil"/>
            </w:tcBorders>
          </w:tcPr>
          <w:p w14:paraId="6FCFA5F5"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 </w:t>
            </w:r>
          </w:p>
          <w:p w14:paraId="0C1E8D63" w14:textId="77777777" w:rsidR="00EA07F3" w:rsidRPr="00A176F2" w:rsidRDefault="00EA07F3" w:rsidP="00E611F6">
            <w:pPr>
              <w:spacing w:line="360" w:lineRule="auto"/>
              <w:jc w:val="center"/>
              <w:rPr>
                <w:color w:val="000000" w:themeColor="text1"/>
                <w:sz w:val="24"/>
                <w:szCs w:val="24"/>
              </w:rPr>
            </w:pPr>
            <w:proofErr w:type="spellStart"/>
            <w:r w:rsidRPr="00A176F2">
              <w:rPr>
                <w:color w:val="000000" w:themeColor="text1"/>
                <w:sz w:val="24"/>
                <w:szCs w:val="24"/>
              </w:rPr>
              <w:t>Inhibisi</w:t>
            </w:r>
            <w:proofErr w:type="spellEnd"/>
          </w:p>
        </w:tc>
        <w:tc>
          <w:tcPr>
            <w:tcW w:w="1242" w:type="dxa"/>
            <w:tcBorders>
              <w:top w:val="single" w:sz="4" w:space="0" w:color="auto"/>
              <w:left w:val="nil"/>
              <w:bottom w:val="single" w:sz="4" w:space="0" w:color="auto"/>
              <w:right w:val="nil"/>
            </w:tcBorders>
          </w:tcPr>
          <w:p w14:paraId="0B22B94E" w14:textId="77777777" w:rsidR="00EA07F3" w:rsidRPr="00A176F2" w:rsidRDefault="00EA07F3" w:rsidP="00E611F6">
            <w:pPr>
              <w:spacing w:line="360" w:lineRule="auto"/>
              <w:jc w:val="center"/>
              <w:rPr>
                <w:color w:val="000000" w:themeColor="text1"/>
                <w:sz w:val="24"/>
                <w:szCs w:val="24"/>
              </w:rPr>
            </w:pPr>
            <w:r w:rsidRPr="00A176F2">
              <w:rPr>
                <w:bCs/>
                <w:sz w:val="24"/>
                <w:szCs w:val="24"/>
              </w:rPr>
              <w:t>IC</w:t>
            </w:r>
            <w:r w:rsidRPr="00A176F2">
              <w:rPr>
                <w:bCs/>
                <w:sz w:val="24"/>
                <w:szCs w:val="24"/>
                <w:vertAlign w:val="subscript"/>
              </w:rPr>
              <w:t xml:space="preserve">50 </w:t>
            </w:r>
            <w:r w:rsidRPr="00A176F2">
              <w:rPr>
                <w:bCs/>
                <w:sz w:val="24"/>
                <w:szCs w:val="24"/>
              </w:rPr>
              <w:t>(</w:t>
            </w:r>
            <w:proofErr w:type="spellStart"/>
            <w:r w:rsidRPr="00A176F2">
              <w:rPr>
                <w:bCs/>
                <w:sz w:val="24"/>
                <w:szCs w:val="24"/>
              </w:rPr>
              <w:t>μg</w:t>
            </w:r>
            <w:proofErr w:type="spellEnd"/>
            <w:r w:rsidRPr="00A176F2">
              <w:rPr>
                <w:bCs/>
                <w:sz w:val="24"/>
                <w:szCs w:val="24"/>
              </w:rPr>
              <w:t>/mL)</w:t>
            </w:r>
          </w:p>
        </w:tc>
      </w:tr>
      <w:tr w:rsidR="00EA07F3" w:rsidRPr="00A176F2" w14:paraId="0365EBDB" w14:textId="77777777" w:rsidTr="00E611F6">
        <w:tc>
          <w:tcPr>
            <w:tcW w:w="1364" w:type="dxa"/>
            <w:tcBorders>
              <w:top w:val="single" w:sz="4" w:space="0" w:color="auto"/>
              <w:left w:val="nil"/>
              <w:bottom w:val="nil"/>
              <w:right w:val="nil"/>
            </w:tcBorders>
            <w:vAlign w:val="center"/>
          </w:tcPr>
          <w:p w14:paraId="776D2DEF"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5</w:t>
            </w:r>
          </w:p>
        </w:tc>
        <w:tc>
          <w:tcPr>
            <w:tcW w:w="1226" w:type="dxa"/>
            <w:tcBorders>
              <w:top w:val="single" w:sz="4" w:space="0" w:color="auto"/>
              <w:left w:val="nil"/>
              <w:bottom w:val="nil"/>
              <w:right w:val="nil"/>
            </w:tcBorders>
          </w:tcPr>
          <w:p w14:paraId="32881712"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0,340</w:t>
            </w:r>
          </w:p>
        </w:tc>
        <w:tc>
          <w:tcPr>
            <w:tcW w:w="1227" w:type="dxa"/>
            <w:tcBorders>
              <w:top w:val="single" w:sz="4" w:space="0" w:color="auto"/>
              <w:left w:val="nil"/>
              <w:bottom w:val="nil"/>
              <w:right w:val="nil"/>
            </w:tcBorders>
          </w:tcPr>
          <w:p w14:paraId="29E9E0F0"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0,342</w:t>
            </w:r>
          </w:p>
        </w:tc>
        <w:tc>
          <w:tcPr>
            <w:tcW w:w="1227" w:type="dxa"/>
            <w:tcBorders>
              <w:top w:val="single" w:sz="4" w:space="0" w:color="auto"/>
              <w:left w:val="nil"/>
              <w:bottom w:val="nil"/>
              <w:right w:val="nil"/>
            </w:tcBorders>
          </w:tcPr>
          <w:p w14:paraId="0C671109"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0,341</w:t>
            </w:r>
          </w:p>
        </w:tc>
        <w:tc>
          <w:tcPr>
            <w:tcW w:w="1230" w:type="dxa"/>
            <w:tcBorders>
              <w:top w:val="single" w:sz="4" w:space="0" w:color="auto"/>
              <w:left w:val="nil"/>
              <w:bottom w:val="nil"/>
              <w:right w:val="nil"/>
            </w:tcBorders>
            <w:vAlign w:val="center"/>
          </w:tcPr>
          <w:p w14:paraId="6905426F"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0,341 </w:t>
            </w:r>
          </w:p>
        </w:tc>
        <w:tc>
          <w:tcPr>
            <w:tcW w:w="1239" w:type="dxa"/>
            <w:tcBorders>
              <w:top w:val="single" w:sz="4" w:space="0" w:color="auto"/>
              <w:left w:val="nil"/>
              <w:bottom w:val="nil"/>
              <w:right w:val="nil"/>
            </w:tcBorders>
            <w:vAlign w:val="center"/>
          </w:tcPr>
          <w:p w14:paraId="09D2970F"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37,546 </w:t>
            </w:r>
          </w:p>
        </w:tc>
        <w:tc>
          <w:tcPr>
            <w:tcW w:w="1242" w:type="dxa"/>
            <w:vMerge w:val="restart"/>
            <w:tcBorders>
              <w:top w:val="single" w:sz="4" w:space="0" w:color="auto"/>
              <w:left w:val="nil"/>
              <w:right w:val="nil"/>
            </w:tcBorders>
            <w:vAlign w:val="center"/>
          </w:tcPr>
          <w:p w14:paraId="6EF9E227"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13,27</w:t>
            </w:r>
          </w:p>
        </w:tc>
      </w:tr>
      <w:tr w:rsidR="00EA07F3" w:rsidRPr="00A176F2" w14:paraId="18BE1922" w14:textId="77777777" w:rsidTr="00E611F6">
        <w:tc>
          <w:tcPr>
            <w:tcW w:w="1364" w:type="dxa"/>
            <w:tcBorders>
              <w:top w:val="nil"/>
              <w:left w:val="nil"/>
              <w:bottom w:val="nil"/>
              <w:right w:val="nil"/>
            </w:tcBorders>
            <w:vAlign w:val="center"/>
          </w:tcPr>
          <w:p w14:paraId="7815E36F"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10</w:t>
            </w:r>
          </w:p>
        </w:tc>
        <w:tc>
          <w:tcPr>
            <w:tcW w:w="1226" w:type="dxa"/>
            <w:tcBorders>
              <w:top w:val="nil"/>
              <w:left w:val="nil"/>
              <w:bottom w:val="nil"/>
              <w:right w:val="nil"/>
            </w:tcBorders>
          </w:tcPr>
          <w:p w14:paraId="7AC2FFF9"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0,300</w:t>
            </w:r>
          </w:p>
        </w:tc>
        <w:tc>
          <w:tcPr>
            <w:tcW w:w="1227" w:type="dxa"/>
            <w:tcBorders>
              <w:top w:val="nil"/>
              <w:left w:val="nil"/>
              <w:bottom w:val="nil"/>
              <w:right w:val="nil"/>
            </w:tcBorders>
          </w:tcPr>
          <w:p w14:paraId="25E2EDD1"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0,301</w:t>
            </w:r>
          </w:p>
        </w:tc>
        <w:tc>
          <w:tcPr>
            <w:tcW w:w="1227" w:type="dxa"/>
            <w:tcBorders>
              <w:top w:val="nil"/>
              <w:left w:val="nil"/>
              <w:bottom w:val="nil"/>
              <w:right w:val="nil"/>
            </w:tcBorders>
          </w:tcPr>
          <w:p w14:paraId="0DCA363B"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0,305</w:t>
            </w:r>
          </w:p>
        </w:tc>
        <w:tc>
          <w:tcPr>
            <w:tcW w:w="1230" w:type="dxa"/>
            <w:tcBorders>
              <w:top w:val="nil"/>
              <w:left w:val="nil"/>
              <w:bottom w:val="nil"/>
              <w:right w:val="nil"/>
            </w:tcBorders>
            <w:vAlign w:val="center"/>
          </w:tcPr>
          <w:p w14:paraId="218F3DF7"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0,302 </w:t>
            </w:r>
          </w:p>
        </w:tc>
        <w:tc>
          <w:tcPr>
            <w:tcW w:w="1239" w:type="dxa"/>
            <w:tcBorders>
              <w:top w:val="nil"/>
              <w:left w:val="nil"/>
              <w:bottom w:val="nil"/>
              <w:right w:val="nil"/>
            </w:tcBorders>
            <w:vAlign w:val="center"/>
          </w:tcPr>
          <w:p w14:paraId="0F48FFFB"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44,689 </w:t>
            </w:r>
          </w:p>
        </w:tc>
        <w:tc>
          <w:tcPr>
            <w:tcW w:w="1242" w:type="dxa"/>
            <w:vMerge/>
            <w:tcBorders>
              <w:left w:val="nil"/>
              <w:right w:val="nil"/>
            </w:tcBorders>
          </w:tcPr>
          <w:p w14:paraId="7E90EC17" w14:textId="77777777" w:rsidR="00EA07F3" w:rsidRPr="00A176F2" w:rsidRDefault="00EA07F3" w:rsidP="00E611F6">
            <w:pPr>
              <w:spacing w:line="360" w:lineRule="auto"/>
              <w:jc w:val="center"/>
              <w:rPr>
                <w:color w:val="000000" w:themeColor="text1"/>
                <w:sz w:val="24"/>
                <w:szCs w:val="24"/>
              </w:rPr>
            </w:pPr>
          </w:p>
        </w:tc>
      </w:tr>
      <w:tr w:rsidR="00EA07F3" w:rsidRPr="00A176F2" w14:paraId="01889621" w14:textId="77777777" w:rsidTr="00E611F6">
        <w:tc>
          <w:tcPr>
            <w:tcW w:w="1364" w:type="dxa"/>
            <w:tcBorders>
              <w:top w:val="nil"/>
              <w:left w:val="nil"/>
              <w:bottom w:val="nil"/>
              <w:right w:val="nil"/>
            </w:tcBorders>
            <w:vAlign w:val="center"/>
          </w:tcPr>
          <w:p w14:paraId="4FD6DAAF"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15</w:t>
            </w:r>
          </w:p>
        </w:tc>
        <w:tc>
          <w:tcPr>
            <w:tcW w:w="1226" w:type="dxa"/>
            <w:tcBorders>
              <w:top w:val="nil"/>
              <w:left w:val="nil"/>
              <w:bottom w:val="nil"/>
              <w:right w:val="nil"/>
            </w:tcBorders>
          </w:tcPr>
          <w:p w14:paraId="0090414C"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0,257</w:t>
            </w:r>
          </w:p>
        </w:tc>
        <w:tc>
          <w:tcPr>
            <w:tcW w:w="1227" w:type="dxa"/>
            <w:tcBorders>
              <w:top w:val="nil"/>
              <w:left w:val="nil"/>
              <w:bottom w:val="nil"/>
              <w:right w:val="nil"/>
            </w:tcBorders>
          </w:tcPr>
          <w:p w14:paraId="3925AC4B"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0,264</w:t>
            </w:r>
          </w:p>
        </w:tc>
        <w:tc>
          <w:tcPr>
            <w:tcW w:w="1227" w:type="dxa"/>
            <w:tcBorders>
              <w:top w:val="nil"/>
              <w:left w:val="nil"/>
              <w:bottom w:val="nil"/>
              <w:right w:val="nil"/>
            </w:tcBorders>
          </w:tcPr>
          <w:p w14:paraId="754F8F1D"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0,262</w:t>
            </w:r>
          </w:p>
        </w:tc>
        <w:tc>
          <w:tcPr>
            <w:tcW w:w="1230" w:type="dxa"/>
            <w:tcBorders>
              <w:top w:val="nil"/>
              <w:left w:val="nil"/>
              <w:bottom w:val="nil"/>
              <w:right w:val="nil"/>
            </w:tcBorders>
            <w:vAlign w:val="center"/>
          </w:tcPr>
          <w:p w14:paraId="083236FC"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0,261 </w:t>
            </w:r>
          </w:p>
        </w:tc>
        <w:tc>
          <w:tcPr>
            <w:tcW w:w="1239" w:type="dxa"/>
            <w:tcBorders>
              <w:top w:val="nil"/>
              <w:left w:val="nil"/>
              <w:bottom w:val="nil"/>
              <w:right w:val="nil"/>
            </w:tcBorders>
            <w:vAlign w:val="center"/>
          </w:tcPr>
          <w:p w14:paraId="09742729"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52,198 </w:t>
            </w:r>
          </w:p>
        </w:tc>
        <w:tc>
          <w:tcPr>
            <w:tcW w:w="1242" w:type="dxa"/>
            <w:vMerge/>
            <w:tcBorders>
              <w:left w:val="nil"/>
              <w:right w:val="nil"/>
            </w:tcBorders>
          </w:tcPr>
          <w:p w14:paraId="480EF98E" w14:textId="77777777" w:rsidR="00EA07F3" w:rsidRPr="00A176F2" w:rsidRDefault="00EA07F3" w:rsidP="00E611F6">
            <w:pPr>
              <w:spacing w:line="360" w:lineRule="auto"/>
              <w:jc w:val="center"/>
              <w:rPr>
                <w:color w:val="000000" w:themeColor="text1"/>
                <w:sz w:val="24"/>
                <w:szCs w:val="24"/>
              </w:rPr>
            </w:pPr>
          </w:p>
        </w:tc>
      </w:tr>
      <w:tr w:rsidR="00EA07F3" w:rsidRPr="00A176F2" w14:paraId="74B3265B" w14:textId="77777777" w:rsidTr="00E611F6">
        <w:tc>
          <w:tcPr>
            <w:tcW w:w="1364" w:type="dxa"/>
            <w:tcBorders>
              <w:top w:val="nil"/>
              <w:left w:val="nil"/>
              <w:bottom w:val="nil"/>
              <w:right w:val="nil"/>
            </w:tcBorders>
            <w:vAlign w:val="center"/>
          </w:tcPr>
          <w:p w14:paraId="6FF425C9"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20</w:t>
            </w:r>
          </w:p>
        </w:tc>
        <w:tc>
          <w:tcPr>
            <w:tcW w:w="1226" w:type="dxa"/>
            <w:tcBorders>
              <w:top w:val="nil"/>
              <w:left w:val="nil"/>
              <w:bottom w:val="nil"/>
              <w:right w:val="nil"/>
            </w:tcBorders>
          </w:tcPr>
          <w:p w14:paraId="045A79E6"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0,209</w:t>
            </w:r>
          </w:p>
        </w:tc>
        <w:tc>
          <w:tcPr>
            <w:tcW w:w="1227" w:type="dxa"/>
            <w:tcBorders>
              <w:top w:val="nil"/>
              <w:left w:val="nil"/>
              <w:bottom w:val="nil"/>
              <w:right w:val="nil"/>
            </w:tcBorders>
          </w:tcPr>
          <w:p w14:paraId="1E031E62"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0,213</w:t>
            </w:r>
          </w:p>
        </w:tc>
        <w:tc>
          <w:tcPr>
            <w:tcW w:w="1227" w:type="dxa"/>
            <w:tcBorders>
              <w:top w:val="nil"/>
              <w:left w:val="nil"/>
              <w:bottom w:val="nil"/>
              <w:right w:val="nil"/>
            </w:tcBorders>
          </w:tcPr>
          <w:p w14:paraId="78B1676C"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0,217</w:t>
            </w:r>
          </w:p>
        </w:tc>
        <w:tc>
          <w:tcPr>
            <w:tcW w:w="1230" w:type="dxa"/>
            <w:tcBorders>
              <w:top w:val="nil"/>
              <w:left w:val="nil"/>
              <w:bottom w:val="nil"/>
              <w:right w:val="nil"/>
            </w:tcBorders>
            <w:vAlign w:val="center"/>
          </w:tcPr>
          <w:p w14:paraId="48D9818F"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0,213 </w:t>
            </w:r>
          </w:p>
        </w:tc>
        <w:tc>
          <w:tcPr>
            <w:tcW w:w="1239" w:type="dxa"/>
            <w:tcBorders>
              <w:top w:val="nil"/>
              <w:left w:val="nil"/>
              <w:bottom w:val="nil"/>
              <w:right w:val="nil"/>
            </w:tcBorders>
            <w:vAlign w:val="center"/>
          </w:tcPr>
          <w:p w14:paraId="5B4C375E"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60,989 </w:t>
            </w:r>
          </w:p>
        </w:tc>
        <w:tc>
          <w:tcPr>
            <w:tcW w:w="1242" w:type="dxa"/>
            <w:vMerge/>
            <w:tcBorders>
              <w:left w:val="nil"/>
              <w:right w:val="nil"/>
            </w:tcBorders>
          </w:tcPr>
          <w:p w14:paraId="15F50AFC" w14:textId="77777777" w:rsidR="00EA07F3" w:rsidRPr="00A176F2" w:rsidRDefault="00EA07F3" w:rsidP="00E611F6">
            <w:pPr>
              <w:spacing w:line="360" w:lineRule="auto"/>
              <w:jc w:val="center"/>
              <w:rPr>
                <w:color w:val="000000" w:themeColor="text1"/>
                <w:sz w:val="24"/>
                <w:szCs w:val="24"/>
              </w:rPr>
            </w:pPr>
          </w:p>
        </w:tc>
      </w:tr>
      <w:tr w:rsidR="00EA07F3" w:rsidRPr="00A176F2" w14:paraId="4D785936" w14:textId="77777777" w:rsidTr="00E611F6">
        <w:tc>
          <w:tcPr>
            <w:tcW w:w="1364" w:type="dxa"/>
            <w:tcBorders>
              <w:top w:val="nil"/>
              <w:left w:val="nil"/>
              <w:bottom w:val="single" w:sz="4" w:space="0" w:color="auto"/>
              <w:right w:val="nil"/>
            </w:tcBorders>
            <w:vAlign w:val="center"/>
          </w:tcPr>
          <w:p w14:paraId="17D375D6"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25</w:t>
            </w:r>
          </w:p>
        </w:tc>
        <w:tc>
          <w:tcPr>
            <w:tcW w:w="1226" w:type="dxa"/>
            <w:tcBorders>
              <w:top w:val="nil"/>
              <w:left w:val="nil"/>
              <w:bottom w:val="single" w:sz="4" w:space="0" w:color="auto"/>
              <w:right w:val="nil"/>
            </w:tcBorders>
          </w:tcPr>
          <w:p w14:paraId="265C4120"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0,172</w:t>
            </w:r>
          </w:p>
        </w:tc>
        <w:tc>
          <w:tcPr>
            <w:tcW w:w="1227" w:type="dxa"/>
            <w:tcBorders>
              <w:top w:val="nil"/>
              <w:left w:val="nil"/>
              <w:bottom w:val="single" w:sz="4" w:space="0" w:color="auto"/>
              <w:right w:val="nil"/>
            </w:tcBorders>
          </w:tcPr>
          <w:p w14:paraId="3C3B2CCF"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0,177</w:t>
            </w:r>
          </w:p>
        </w:tc>
        <w:tc>
          <w:tcPr>
            <w:tcW w:w="1227" w:type="dxa"/>
            <w:tcBorders>
              <w:top w:val="nil"/>
              <w:left w:val="nil"/>
              <w:bottom w:val="single" w:sz="4" w:space="0" w:color="auto"/>
              <w:right w:val="nil"/>
            </w:tcBorders>
          </w:tcPr>
          <w:p w14:paraId="4532E647"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0,176</w:t>
            </w:r>
          </w:p>
        </w:tc>
        <w:tc>
          <w:tcPr>
            <w:tcW w:w="1230" w:type="dxa"/>
            <w:tcBorders>
              <w:top w:val="nil"/>
              <w:left w:val="nil"/>
              <w:bottom w:val="single" w:sz="4" w:space="0" w:color="auto"/>
              <w:right w:val="nil"/>
            </w:tcBorders>
            <w:vAlign w:val="center"/>
          </w:tcPr>
          <w:p w14:paraId="4CB90CE8"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0,175 </w:t>
            </w:r>
          </w:p>
        </w:tc>
        <w:tc>
          <w:tcPr>
            <w:tcW w:w="1239" w:type="dxa"/>
            <w:tcBorders>
              <w:top w:val="nil"/>
              <w:left w:val="nil"/>
              <w:bottom w:val="single" w:sz="4" w:space="0" w:color="auto"/>
              <w:right w:val="nil"/>
            </w:tcBorders>
            <w:vAlign w:val="center"/>
          </w:tcPr>
          <w:p w14:paraId="7230F552" w14:textId="77777777" w:rsidR="00EA07F3" w:rsidRPr="00A176F2" w:rsidRDefault="00EA07F3" w:rsidP="00E611F6">
            <w:pPr>
              <w:spacing w:line="360" w:lineRule="auto"/>
              <w:jc w:val="center"/>
              <w:rPr>
                <w:color w:val="000000" w:themeColor="text1"/>
                <w:sz w:val="24"/>
                <w:szCs w:val="24"/>
              </w:rPr>
            </w:pPr>
            <w:r w:rsidRPr="00A176F2">
              <w:rPr>
                <w:color w:val="000000" w:themeColor="text1"/>
                <w:sz w:val="24"/>
                <w:szCs w:val="24"/>
              </w:rPr>
              <w:t xml:space="preserve">67,949 </w:t>
            </w:r>
          </w:p>
        </w:tc>
        <w:tc>
          <w:tcPr>
            <w:tcW w:w="1242" w:type="dxa"/>
            <w:vMerge/>
            <w:tcBorders>
              <w:left w:val="nil"/>
              <w:bottom w:val="single" w:sz="4" w:space="0" w:color="auto"/>
              <w:right w:val="nil"/>
            </w:tcBorders>
          </w:tcPr>
          <w:p w14:paraId="5B405136" w14:textId="77777777" w:rsidR="00EA07F3" w:rsidRPr="00A176F2" w:rsidRDefault="00EA07F3" w:rsidP="00E611F6">
            <w:pPr>
              <w:spacing w:line="360" w:lineRule="auto"/>
              <w:jc w:val="center"/>
              <w:rPr>
                <w:color w:val="000000" w:themeColor="text1"/>
                <w:sz w:val="24"/>
                <w:szCs w:val="24"/>
              </w:rPr>
            </w:pPr>
          </w:p>
        </w:tc>
      </w:tr>
    </w:tbl>
    <w:p w14:paraId="7D80E0F7" w14:textId="77777777" w:rsidR="007925BC" w:rsidRDefault="007925BC"/>
    <w:sectPr w:rsidR="007925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862"/>
    <w:multiLevelType w:val="hybridMultilevel"/>
    <w:tmpl w:val="27EE1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75D70"/>
    <w:multiLevelType w:val="multilevel"/>
    <w:tmpl w:val="AAAE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27B9B"/>
    <w:multiLevelType w:val="multilevel"/>
    <w:tmpl w:val="8952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7D7AC8"/>
    <w:multiLevelType w:val="hybridMultilevel"/>
    <w:tmpl w:val="4CA82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113839">
    <w:abstractNumId w:val="3"/>
  </w:num>
  <w:num w:numId="2" w16cid:durableId="1275670596">
    <w:abstractNumId w:val="2"/>
  </w:num>
  <w:num w:numId="3" w16cid:durableId="809054064">
    <w:abstractNumId w:val="1"/>
  </w:num>
  <w:num w:numId="4" w16cid:durableId="1979217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F3"/>
    <w:rsid w:val="004F66B2"/>
    <w:rsid w:val="007925BC"/>
    <w:rsid w:val="008F40D4"/>
    <w:rsid w:val="00973F67"/>
    <w:rsid w:val="00A24CEA"/>
    <w:rsid w:val="00A9665C"/>
    <w:rsid w:val="00AE04DE"/>
    <w:rsid w:val="00D44FF6"/>
    <w:rsid w:val="00E96D18"/>
    <w:rsid w:val="00EA07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7BFAF17"/>
  <w15:chartTrackingRefBased/>
  <w15:docId w15:val="{E61D7B82-3EFA-2D4B-BAAB-274E963C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7F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A0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0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A0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7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7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7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7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A0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A0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7F3"/>
    <w:rPr>
      <w:rFonts w:eastAsiaTheme="majorEastAsia" w:cstheme="majorBidi"/>
      <w:color w:val="272727" w:themeColor="text1" w:themeTint="D8"/>
    </w:rPr>
  </w:style>
  <w:style w:type="paragraph" w:styleId="Title">
    <w:name w:val="Title"/>
    <w:basedOn w:val="Normal"/>
    <w:next w:val="Normal"/>
    <w:link w:val="TitleChar"/>
    <w:uiPriority w:val="10"/>
    <w:qFormat/>
    <w:rsid w:val="00EA07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7F3"/>
    <w:pPr>
      <w:spacing w:before="160"/>
      <w:jc w:val="center"/>
    </w:pPr>
    <w:rPr>
      <w:i/>
      <w:iCs/>
      <w:color w:val="404040" w:themeColor="text1" w:themeTint="BF"/>
    </w:rPr>
  </w:style>
  <w:style w:type="character" w:customStyle="1" w:styleId="QuoteChar">
    <w:name w:val="Quote Char"/>
    <w:basedOn w:val="DefaultParagraphFont"/>
    <w:link w:val="Quote"/>
    <w:uiPriority w:val="29"/>
    <w:rsid w:val="00EA07F3"/>
    <w:rPr>
      <w:i/>
      <w:iCs/>
      <w:color w:val="404040" w:themeColor="text1" w:themeTint="BF"/>
    </w:rPr>
  </w:style>
  <w:style w:type="paragraph" w:styleId="ListParagraph">
    <w:name w:val="List Paragraph"/>
    <w:basedOn w:val="Normal"/>
    <w:uiPriority w:val="34"/>
    <w:qFormat/>
    <w:rsid w:val="00EA07F3"/>
    <w:pPr>
      <w:ind w:left="720"/>
      <w:contextualSpacing/>
    </w:pPr>
  </w:style>
  <w:style w:type="character" w:styleId="IntenseEmphasis">
    <w:name w:val="Intense Emphasis"/>
    <w:basedOn w:val="DefaultParagraphFont"/>
    <w:uiPriority w:val="21"/>
    <w:qFormat/>
    <w:rsid w:val="00EA07F3"/>
    <w:rPr>
      <w:i/>
      <w:iCs/>
      <w:color w:val="0F4761" w:themeColor="accent1" w:themeShade="BF"/>
    </w:rPr>
  </w:style>
  <w:style w:type="paragraph" w:styleId="IntenseQuote">
    <w:name w:val="Intense Quote"/>
    <w:basedOn w:val="Normal"/>
    <w:next w:val="Normal"/>
    <w:link w:val="IntenseQuoteChar"/>
    <w:uiPriority w:val="30"/>
    <w:qFormat/>
    <w:rsid w:val="00EA0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7F3"/>
    <w:rPr>
      <w:i/>
      <w:iCs/>
      <w:color w:val="0F4761" w:themeColor="accent1" w:themeShade="BF"/>
    </w:rPr>
  </w:style>
  <w:style w:type="character" w:styleId="IntenseReference">
    <w:name w:val="Intense Reference"/>
    <w:basedOn w:val="DefaultParagraphFont"/>
    <w:uiPriority w:val="32"/>
    <w:qFormat/>
    <w:rsid w:val="00EA07F3"/>
    <w:rPr>
      <w:b/>
      <w:bCs/>
      <w:smallCaps/>
      <w:color w:val="0F4761" w:themeColor="accent1" w:themeShade="BF"/>
      <w:spacing w:val="5"/>
    </w:rPr>
  </w:style>
  <w:style w:type="character" w:styleId="Strong">
    <w:name w:val="Strong"/>
    <w:basedOn w:val="DefaultParagraphFont"/>
    <w:uiPriority w:val="22"/>
    <w:qFormat/>
    <w:rsid w:val="00EA07F3"/>
    <w:rPr>
      <w:b/>
      <w:bCs/>
    </w:rPr>
  </w:style>
  <w:style w:type="paragraph" w:styleId="NormalWeb">
    <w:name w:val="Normal (Web)"/>
    <w:basedOn w:val="Normal"/>
    <w:uiPriority w:val="99"/>
    <w:semiHidden/>
    <w:unhideWhenUsed/>
    <w:rsid w:val="00EA07F3"/>
    <w:pPr>
      <w:spacing w:before="100" w:beforeAutospacing="1" w:after="100" w:afterAutospacing="1"/>
    </w:pPr>
  </w:style>
  <w:style w:type="table" w:styleId="TableGrid">
    <w:name w:val="Table Grid"/>
    <w:basedOn w:val="TableNormal"/>
    <w:uiPriority w:val="39"/>
    <w:rsid w:val="00EA07F3"/>
    <w:pPr>
      <w:spacing w:after="0" w:line="240" w:lineRule="auto"/>
    </w:pPr>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EA07F3"/>
  </w:style>
  <w:style w:type="character" w:customStyle="1" w:styleId="mord">
    <w:name w:val="mord"/>
    <w:basedOn w:val="DefaultParagraphFont"/>
    <w:rsid w:val="00EA07F3"/>
  </w:style>
  <w:style w:type="character" w:customStyle="1" w:styleId="mrel">
    <w:name w:val="mrel"/>
    <w:basedOn w:val="DefaultParagraphFont"/>
    <w:rsid w:val="00EA07F3"/>
  </w:style>
  <w:style w:type="character" w:customStyle="1" w:styleId="mopen">
    <w:name w:val="mopen"/>
    <w:basedOn w:val="DefaultParagraphFont"/>
    <w:rsid w:val="00EA07F3"/>
  </w:style>
  <w:style w:type="character" w:customStyle="1" w:styleId="vlist-s">
    <w:name w:val="vlist-s"/>
    <w:basedOn w:val="DefaultParagraphFont"/>
    <w:rsid w:val="00EA07F3"/>
  </w:style>
  <w:style w:type="character" w:customStyle="1" w:styleId="mclose">
    <w:name w:val="mclose"/>
    <w:basedOn w:val="DefaultParagraphFont"/>
    <w:rsid w:val="00EA07F3"/>
  </w:style>
  <w:style w:type="character" w:customStyle="1" w:styleId="mbin">
    <w:name w:val="mbin"/>
    <w:basedOn w:val="DefaultParagraphFont"/>
    <w:rsid w:val="00EA07F3"/>
  </w:style>
  <w:style w:type="character" w:styleId="Emphasis">
    <w:name w:val="Emphasis"/>
    <w:basedOn w:val="DefaultParagraphFont"/>
    <w:uiPriority w:val="20"/>
    <w:qFormat/>
    <w:rsid w:val="00EA07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41605">
      <w:bodyDiv w:val="1"/>
      <w:marLeft w:val="0"/>
      <w:marRight w:val="0"/>
      <w:marTop w:val="0"/>
      <w:marBottom w:val="0"/>
      <w:divBdr>
        <w:top w:val="none" w:sz="0" w:space="0" w:color="auto"/>
        <w:left w:val="none" w:sz="0" w:space="0" w:color="auto"/>
        <w:bottom w:val="none" w:sz="0" w:space="0" w:color="auto"/>
        <w:right w:val="none" w:sz="0" w:space="0" w:color="auto"/>
      </w:divBdr>
    </w:div>
    <w:div w:id="221527299">
      <w:bodyDiv w:val="1"/>
      <w:marLeft w:val="0"/>
      <w:marRight w:val="0"/>
      <w:marTop w:val="0"/>
      <w:marBottom w:val="0"/>
      <w:divBdr>
        <w:top w:val="none" w:sz="0" w:space="0" w:color="auto"/>
        <w:left w:val="none" w:sz="0" w:space="0" w:color="auto"/>
        <w:bottom w:val="none" w:sz="0" w:space="0" w:color="auto"/>
        <w:right w:val="none" w:sz="0" w:space="0" w:color="auto"/>
      </w:divBdr>
    </w:div>
    <w:div w:id="172151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1891</Words>
  <Characters>10782</Characters>
  <Application>Microsoft Office Word</Application>
  <DocSecurity>0</DocSecurity>
  <Lines>89</Lines>
  <Paragraphs>25</Paragraphs>
  <ScaleCrop>false</ScaleCrop>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Sheryll Oktaverlyn</dc:creator>
  <cp:keywords/>
  <dc:description/>
  <cp:lastModifiedBy>Sheryll Oktaverlyn</cp:lastModifiedBy>
  <cp:revision>1</cp:revision>
  <dcterms:created xsi:type="dcterms:W3CDTF">2025-06-19T12:02:00Z</dcterms:created>
  <dcterms:modified xsi:type="dcterms:W3CDTF">2025-06-19T12:11:00Z</dcterms:modified>
</cp:coreProperties>
</file>