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88" w:rsidRPr="00516588" w:rsidRDefault="00516588" w:rsidP="00516588">
      <w:pPr>
        <w:spacing w:after="0" w:line="240" w:lineRule="auto"/>
        <w:jc w:val="center"/>
        <w:rPr>
          <w:rFonts w:ascii="Times New Roman" w:eastAsia="Times New Roman" w:hAnsi="Times New Roman" w:cs="Times New Roman"/>
          <w:b/>
          <w:bCs/>
          <w:sz w:val="24"/>
          <w:szCs w:val="24"/>
          <w:lang w:val="sv-SE"/>
        </w:rPr>
      </w:pPr>
      <w:r w:rsidRPr="00516588">
        <w:rPr>
          <w:rFonts w:ascii="Times New Roman" w:eastAsia="Times New Roman" w:hAnsi="Times New Roman" w:cs="Times New Roman"/>
          <w:b/>
          <w:sz w:val="28"/>
          <w:szCs w:val="28"/>
        </w:rPr>
        <w:t>PENGARUH PENGGUNAAN DANA DESA DALAM BIDANG PEMBANGUNAN DESA DAN BIDANG PEMBERDAYAAN MASYARAKAT DESA TERHADAP KEMISKINAN DESA DI KABUPATEN PEMALANG TAHUN 2019-2020</w:t>
      </w:r>
    </w:p>
    <w:p w:rsidR="00516588" w:rsidRPr="00516588" w:rsidRDefault="00516588" w:rsidP="00516588">
      <w:pPr>
        <w:spacing w:after="0" w:line="240" w:lineRule="auto"/>
        <w:jc w:val="center"/>
        <w:rPr>
          <w:rFonts w:ascii="Times New Roman" w:eastAsia="Times New Roman" w:hAnsi="Times New Roman" w:cs="Times New Roman"/>
          <w:sz w:val="24"/>
          <w:szCs w:val="24"/>
          <w:lang w:val="sv-SE"/>
        </w:rPr>
      </w:pPr>
    </w:p>
    <w:p w:rsidR="00516588" w:rsidRPr="00516588" w:rsidRDefault="00516588" w:rsidP="00516588">
      <w:pPr>
        <w:spacing w:after="0" w:line="240" w:lineRule="auto"/>
        <w:jc w:val="center"/>
        <w:rPr>
          <w:rFonts w:ascii="Times New Roman" w:eastAsia="Times New Roman" w:hAnsi="Times New Roman" w:cs="Times New Roman"/>
          <w:sz w:val="24"/>
          <w:szCs w:val="24"/>
          <w:lang w:val="sv-SE"/>
        </w:rPr>
      </w:pPr>
      <w:r w:rsidRPr="00516588">
        <w:rPr>
          <w:rFonts w:ascii="Times New Roman" w:eastAsia="Times New Roman" w:hAnsi="Times New Roman" w:cs="Times New Roman"/>
          <w:sz w:val="24"/>
          <w:szCs w:val="24"/>
          <w:lang w:val="sv-SE"/>
        </w:rPr>
        <w:t>Sofa Sundarti</w:t>
      </w:r>
    </w:p>
    <w:p w:rsidR="00516588" w:rsidRPr="00516588" w:rsidRDefault="00516588" w:rsidP="00516588">
      <w:pPr>
        <w:spacing w:after="0" w:line="240" w:lineRule="auto"/>
        <w:jc w:val="center"/>
        <w:rPr>
          <w:rFonts w:ascii="Times New Roman" w:eastAsia="Times New Roman" w:hAnsi="Times New Roman" w:cs="Times New Roman"/>
          <w:sz w:val="24"/>
          <w:szCs w:val="24"/>
          <w:lang w:val="sv-SE"/>
        </w:rPr>
      </w:pPr>
      <w:r w:rsidRPr="00516588">
        <w:rPr>
          <w:rFonts w:ascii="Times New Roman" w:eastAsia="Times New Roman" w:hAnsi="Times New Roman" w:cs="Times New Roman"/>
          <w:sz w:val="24"/>
          <w:szCs w:val="24"/>
          <w:lang w:val="sv-SE"/>
        </w:rPr>
        <w:t xml:space="preserve">R.Mulyo Hendarto </w:t>
      </w:r>
    </w:p>
    <w:p w:rsidR="00516588" w:rsidRPr="00516588" w:rsidRDefault="00516588" w:rsidP="00516588">
      <w:pPr>
        <w:spacing w:after="0" w:line="240" w:lineRule="auto"/>
        <w:jc w:val="center"/>
        <w:rPr>
          <w:rFonts w:ascii="Times New Roman" w:eastAsia="Times New Roman" w:hAnsi="Times New Roman" w:cs="Times New Roman"/>
          <w:sz w:val="24"/>
          <w:szCs w:val="24"/>
          <w:lang w:val="sv-SE"/>
        </w:rPr>
      </w:pPr>
      <w:r w:rsidRPr="00516588">
        <w:rPr>
          <w:rFonts w:ascii="Times New Roman" w:eastAsia="Times New Roman" w:hAnsi="Times New Roman" w:cs="Times New Roman"/>
          <w:sz w:val="24"/>
          <w:szCs w:val="24"/>
          <w:lang w:val="sv-SE"/>
        </w:rPr>
        <w:t>Departemen IE Fakultas Ekonomika dan Bisnis Universitas Diponegoro</w:t>
      </w:r>
    </w:p>
    <w:p w:rsidR="00516588" w:rsidRPr="00516588" w:rsidRDefault="00516588" w:rsidP="00516588">
      <w:pPr>
        <w:spacing w:after="0" w:line="240" w:lineRule="auto"/>
        <w:jc w:val="center"/>
        <w:rPr>
          <w:rFonts w:ascii="Times New Roman" w:eastAsia="Times New Roman" w:hAnsi="Times New Roman" w:cs="Times New Roman"/>
          <w:b/>
          <w:sz w:val="24"/>
          <w:szCs w:val="24"/>
          <w:lang w:val="sv-SE"/>
        </w:rPr>
      </w:pPr>
    </w:p>
    <w:p w:rsidR="00516588" w:rsidRPr="00516588" w:rsidRDefault="00516588" w:rsidP="00516588">
      <w:pPr>
        <w:spacing w:after="0" w:line="240" w:lineRule="auto"/>
        <w:jc w:val="center"/>
        <w:rPr>
          <w:rFonts w:ascii="Times New Roman" w:eastAsia="Times New Roman" w:hAnsi="Times New Roman" w:cs="Times New Roman"/>
          <w:b/>
          <w:sz w:val="24"/>
          <w:szCs w:val="24"/>
          <w:lang w:val="sv-SE"/>
        </w:rPr>
      </w:pPr>
    </w:p>
    <w:p w:rsidR="00516588" w:rsidRPr="00516588" w:rsidRDefault="00516588" w:rsidP="00516588">
      <w:pPr>
        <w:spacing w:after="0" w:line="240" w:lineRule="auto"/>
        <w:jc w:val="center"/>
        <w:rPr>
          <w:rFonts w:ascii="Times New Roman" w:eastAsia="Times New Roman" w:hAnsi="Times New Roman" w:cs="Times New Roman"/>
          <w:b/>
          <w:i/>
          <w:sz w:val="24"/>
          <w:szCs w:val="24"/>
          <w:lang w:val="id-ID"/>
        </w:rPr>
      </w:pPr>
      <w:r w:rsidRPr="00516588">
        <w:rPr>
          <w:rFonts w:ascii="Times New Roman" w:eastAsia="Times New Roman" w:hAnsi="Times New Roman" w:cs="Times New Roman"/>
          <w:b/>
          <w:i/>
          <w:sz w:val="24"/>
          <w:szCs w:val="24"/>
          <w:lang w:val="id-ID"/>
        </w:rPr>
        <w:t>ABSTRACT</w:t>
      </w:r>
    </w:p>
    <w:p w:rsidR="00516588" w:rsidRPr="00516588" w:rsidRDefault="00516588" w:rsidP="00516588">
      <w:pPr>
        <w:spacing w:before="240" w:line="240" w:lineRule="auto"/>
        <w:ind w:firstLine="720"/>
        <w:contextualSpacing/>
        <w:jc w:val="both"/>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Poverty is a problem faced by all countries. Both developed countries, but the problem of poverty is more common in developing countries. One of the reasons for the problem of poverty in developing countries is that development conditions in developing countries are still unstable. To overcome this, the government implements a fiscal decentralization policy with a village fund program which is expected to be able to reduce poverty. The priorities for using village funds include village development and village community empowerment, for this reason the purpose of this study is to analyze the effect of the realization of village funds used in the field of village development and in the field of village community empowerment in every village in Pemalang Regency in 2019 to 2020.</w:t>
      </w:r>
    </w:p>
    <w:p w:rsidR="00516588" w:rsidRPr="00516588" w:rsidRDefault="00516588" w:rsidP="00516588">
      <w:pPr>
        <w:spacing w:before="240" w:line="240" w:lineRule="auto"/>
        <w:ind w:firstLine="720"/>
        <w:contextualSpacing/>
        <w:jc w:val="both"/>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Ssecondary data by using the selected Fixed Effect (FE) method, the dependent variable used in this paper is village poverty and two independent variables, namely the realization of village funds in the field of village development and the realization of village funds in the field of empowerment of rural communities with the research population of all villages in Pemalang Regency. This uses purposive sampling method to determine the sample used in the paper.</w:t>
      </w:r>
    </w:p>
    <w:p w:rsidR="00516588" w:rsidRPr="00516588" w:rsidRDefault="00516588" w:rsidP="00516588">
      <w:pPr>
        <w:spacing w:before="240" w:line="240" w:lineRule="auto"/>
        <w:ind w:firstLine="720"/>
        <w:contextualSpacing/>
        <w:jc w:val="both"/>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The results of this indicate that the independent variable simultaneously has no effect on village poverty, while partially the variable realization of village funds in the field of village development has a negative value with a coefficient value of -0.362448 and a probability value of 0.0824 which means the realization of village funds in the field of village development, it has an effect on reducing the amount of village poverty but is not significant, while the realization of village funds in the field of village community empowerment has a partially negative significant effect on rural poverty with a coefficient value of -0.358970 and a probability value of 0.0000 which means that each the addition of 1 million realizations in the field of village community empowerment was able to reduce the number of poor people by 36 people.</w:t>
      </w:r>
    </w:p>
    <w:p w:rsidR="00516588" w:rsidRPr="00516588" w:rsidRDefault="00516588" w:rsidP="00516588">
      <w:pPr>
        <w:spacing w:before="240" w:after="0" w:line="240" w:lineRule="auto"/>
        <w:ind w:left="1170" w:hanging="1170"/>
        <w:jc w:val="both"/>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Keywords: Village Poverty, Fiscal Decentralization, Village Development, Village Community Empowerment</w:t>
      </w:r>
    </w:p>
    <w:p w:rsidR="00516588" w:rsidRPr="00516588" w:rsidRDefault="00516588" w:rsidP="00516588">
      <w:pPr>
        <w:spacing w:after="0" w:line="240" w:lineRule="auto"/>
        <w:jc w:val="both"/>
        <w:rPr>
          <w:rFonts w:ascii="Times New Roman" w:eastAsia="Times New Roman" w:hAnsi="Times New Roman" w:cs="Times New Roman"/>
          <w:sz w:val="24"/>
          <w:szCs w:val="24"/>
        </w:rPr>
        <w:sectPr w:rsidR="00516588" w:rsidRPr="00516588" w:rsidSect="00516588">
          <w:pgSz w:w="12240" w:h="15840"/>
          <w:pgMar w:top="1440" w:right="1440" w:bottom="1440" w:left="1440" w:header="720" w:footer="720" w:gutter="0"/>
          <w:cols w:space="720"/>
          <w:docGrid w:linePitch="360"/>
        </w:sectPr>
      </w:pPr>
    </w:p>
    <w:p w:rsidR="00516588" w:rsidRPr="00516588" w:rsidRDefault="00516588" w:rsidP="00516588">
      <w:pPr>
        <w:spacing w:after="0" w:line="240" w:lineRule="auto"/>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PENDAHULUAN</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Masalah kemiskinan menjadi perhatian utama di negara-negara berkembang, termasuk Indonesia.</w:t>
      </w:r>
      <w:proofErr w:type="gramEnd"/>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sz w:val="24"/>
          <w:szCs w:val="24"/>
        </w:rPr>
        <w:t>Wilayah perdesaan di Indonesia merupakan wilayah yang memiliki jumlah penduduk miskin lebih banyak jika dibandingkan dengan wilayah perkotaan.</w:t>
      </w:r>
      <w:proofErr w:type="gramEnd"/>
      <w:r w:rsidRPr="00516588">
        <w:rPr>
          <w:rFonts w:ascii="Times New Roman" w:eastAsia="Times New Roman" w:hAnsi="Times New Roman" w:cs="Times New Roman"/>
          <w:sz w:val="24"/>
          <w:szCs w:val="24"/>
        </w:rPr>
        <w:t xml:space="preserve"> Jumlah masyarakat miskin di pedesaan pada tahun 2019 berjumlah 15.150.000 jiwa dan mengalami peningkatan pada tahun 2020 menjadi 15.260.000 jiwa (Badan Pusat Statistik, 2020). </w:t>
      </w:r>
      <w:proofErr w:type="gramStart"/>
      <w:r w:rsidRPr="00516588">
        <w:rPr>
          <w:rFonts w:ascii="Times New Roman" w:eastAsia="Times New Roman" w:hAnsi="Times New Roman" w:cs="Times New Roman"/>
          <w:sz w:val="24"/>
          <w:szCs w:val="24"/>
        </w:rPr>
        <w:t>Tingginya jumlah penduduk miskin di wilayah perdesaan membuat pemerintah harus memiliki kebijakan yang dapat menurunkan jumlah penduduk miskin di perdesaan.</w:t>
      </w:r>
      <w:proofErr w:type="gramEnd"/>
      <w:r w:rsidRPr="00516588">
        <w:rPr>
          <w:rFonts w:ascii="Times New Roman" w:eastAsia="Times New Roman" w:hAnsi="Times New Roman" w:cs="Times New Roman"/>
          <w:sz w:val="24"/>
          <w:szCs w:val="24"/>
        </w:rPr>
        <w:t xml:space="preserve"> Salah satu kebijakan yang dilakukan oleh pemerintah adalah kebijakan transfer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dari pemerintah pusat kepada pemerintah desa. </w:t>
      </w:r>
      <w:proofErr w:type="gramStart"/>
      <w:r w:rsidRPr="00516588">
        <w:rPr>
          <w:rFonts w:ascii="Times New Roman" w:eastAsia="Times New Roman" w:hAnsi="Times New Roman" w:cs="Times New Roman"/>
          <w:sz w:val="24"/>
          <w:szCs w:val="24"/>
        </w:rPr>
        <w:t>Pemerintah melakukan kebijakan desentralisasi fiskal sebagai salah satu upaya untuk melakukan pembangunan dari daerah.</w:t>
      </w:r>
      <w:proofErr w:type="gramEnd"/>
    </w:p>
    <w:p w:rsidR="00516588" w:rsidRPr="00516588" w:rsidRDefault="00516588" w:rsidP="00516588">
      <w:pPr>
        <w:spacing w:before="240"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Pemerintah Indonesia dengan Undang-Undang Nomor 6 Tahun 2014 tentang Desa, berupaya menurunkan angka kemiskinan terutama untuk wilayah perdesaan dengan meluncurkan program dana desa. Program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dapat digunakan untuk membiayai berbagai kegiatan yang sesuai dengan kewenangan desa, untuk memberikan petunjuk penggunaan dana desa, Pemerintah Pusat memberikan petunjuk dengan membuatkan program prioritas penggunaan dana desa. Prioritas penggunaan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antara lain dana desa dapat digunakan untuk membiayai kegiatan di bidang pembangunan desa dan bidang pemberdayaan maskarakat desa (Buku Pintar Dana Desa, 2019). </w:t>
      </w:r>
    </w:p>
    <w:p w:rsidR="00516588" w:rsidRPr="00516588" w:rsidRDefault="00516588" w:rsidP="00516588">
      <w:pPr>
        <w:spacing w:before="240" w:line="240" w:lineRule="auto"/>
        <w:ind w:firstLine="108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Kabupaten Pemalang merupakan kabupaten dengan penduduk terbanyak kedua di kawasan Eks Karesidenan Pekalongan setelah Kabupaten Brebes, Kabupaten Pemalang memiliki jumlah penduduk sebanyak 1.305.708 jiwa di tahun 2020 dengan jumlah masyarakat miskin sebanyak 209.000 jiwa. </w:t>
      </w:r>
      <w:proofErr w:type="gramStart"/>
      <w:r w:rsidRPr="00516588">
        <w:rPr>
          <w:rFonts w:ascii="Times New Roman" w:eastAsia="Times New Roman" w:hAnsi="Times New Roman" w:cs="Times New Roman"/>
          <w:sz w:val="24"/>
          <w:szCs w:val="24"/>
        </w:rPr>
        <w:t>Kabupaten Pemalang memiliki trand pertumbuhan ekonomi yang positif tetapi indeks kedalaman kemiskinan mengalami peningkatan pada tahun 2020.</w:t>
      </w:r>
      <w:proofErr w:type="gramEnd"/>
      <w:r w:rsidRPr="00516588">
        <w:rPr>
          <w:rFonts w:ascii="Times New Roman" w:eastAsia="Times New Roman" w:hAnsi="Times New Roman" w:cs="Times New Roman"/>
          <w:sz w:val="24"/>
          <w:szCs w:val="24"/>
        </w:rPr>
        <w:t xml:space="preserve"> </w:t>
      </w:r>
    </w:p>
    <w:p w:rsidR="00516588" w:rsidRPr="00516588" w:rsidRDefault="00516588" w:rsidP="00516588">
      <w:pPr>
        <w:spacing w:before="240" w:after="100" w:afterAutospacing="1"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57900" cy="34385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16588">
        <w:rPr>
          <w:rFonts w:ascii="Times New Roman" w:eastAsia="Times New Roman" w:hAnsi="Times New Roman" w:cs="Times New Roman"/>
          <w:sz w:val="24"/>
          <w:szCs w:val="24"/>
        </w:rPr>
        <w:t>Sumber: Badan Pusat Statistik Provinsi Jawa Tengah, Februari 2021</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Berdasarkan Gambar 1.1 dapat dilihat jika pada tahun 2019 dana desa di Kabupaten Pemalang mengalami kenaikan sebesar 106,42 persen dari tahun sebelumnya, dimana pada saat tahun yang sama jumlah penduduk miskin mengalami penurunan sebesar 3,68 persen dan indeks kedalaman kemiskinan mengalami penurunan sebesar 13,85 persen. Sedangkan </w:t>
      </w:r>
      <w:r w:rsidRPr="00516588">
        <w:rPr>
          <w:rFonts w:ascii="Times New Roman" w:eastAsia="Times New Roman" w:hAnsi="Times New Roman" w:cs="Times New Roman"/>
          <w:sz w:val="24"/>
          <w:szCs w:val="24"/>
        </w:rPr>
        <w:lastRenderedPageBreak/>
        <w:t>pada tahun 2020 dana desa mengalami kenaikan sebesar 8</w:t>
      </w:r>
      <w:proofErr w:type="gramStart"/>
      <w:r w:rsidRPr="00516588">
        <w:rPr>
          <w:rFonts w:ascii="Times New Roman" w:eastAsia="Times New Roman" w:hAnsi="Times New Roman" w:cs="Times New Roman"/>
          <w:sz w:val="24"/>
          <w:szCs w:val="24"/>
        </w:rPr>
        <w:t>,42</w:t>
      </w:r>
      <w:proofErr w:type="gramEnd"/>
      <w:r w:rsidRPr="00516588">
        <w:rPr>
          <w:rFonts w:ascii="Times New Roman" w:eastAsia="Times New Roman" w:hAnsi="Times New Roman" w:cs="Times New Roman"/>
          <w:sz w:val="24"/>
          <w:szCs w:val="24"/>
        </w:rPr>
        <w:t xml:space="preserve"> persen tetapi jumlah penduduk miskin mengalami kenaikan sebesae 4,15 persen dan indeks kedalaman kemiskinan mengalami kenaikan sebesar 12.15 persen. Dimana pada tahun 2020 di Kabupaten Pemalang pengalokasian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mengalami kenaikan tetapi jumlah penduduk miskin dan indeks kedalaman kemiskinan di Kabupaten Pemalang mengalami kenaikan.</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Dana desa salah satunya diprioritaskan untuk membiayai kegiatan-kegiatan pada bidang pembangunan desa, dimana dalam bidang pembangunan desa terdapat berbagai sub bidang yakni sub bidang kesehatan, sub bidang pendidikan, sub bidang PU dan Penataan Ruang, sub bidang kawasan dan pemukiman serta sub bidang hubkominfo. Kegiatan kesehatan yang menjadi kewenangan desa adalah kegiatan posyandu yang diadakan oleh masing-masing desa, dan kegiatan di sub bidang pendidikan yang dapat dibiayai oleh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adalah PAUD dan TK/RA/BA. Sedangkan kegiatan pada sub bidang PU dan penataan ruang menjadi penting dalam upaya menurunkan jumlah masyarakat miskin, hal ini dikarenakan infrastruktuk sebagai salah satu roda penggerak perekonomian dan mempunyai pengaruh besar terhadap pembangunan perekonomian daerah. Menurut Tim LPEM-PSEKP-PSP dalam Wibowo (2014) salah satu </w:t>
      </w:r>
      <w:proofErr w:type="gramStart"/>
      <w:r w:rsidRPr="00516588">
        <w:rPr>
          <w:rFonts w:ascii="Times New Roman" w:eastAsia="Times New Roman" w:hAnsi="Times New Roman" w:cs="Times New Roman"/>
          <w:sz w:val="24"/>
          <w:szCs w:val="24"/>
        </w:rPr>
        <w:t>cara</w:t>
      </w:r>
      <w:proofErr w:type="gramEnd"/>
      <w:r w:rsidRPr="00516588">
        <w:rPr>
          <w:rFonts w:ascii="Times New Roman" w:eastAsia="Times New Roman" w:hAnsi="Times New Roman" w:cs="Times New Roman"/>
          <w:sz w:val="24"/>
          <w:szCs w:val="24"/>
        </w:rPr>
        <w:t xml:space="preserve"> untuk menanggulangi kemiskinan yang cukup efektif adalah dengan melalui pembangunan infrastruktur. Selain itu infrastruktur juga berpengaruh penting bagi peningkatan kualitas hidup dan kesejahteraan manusia, antara lain dalam peningkatan nilai konsumsi, peningkatan produktivitas tenaga kerja dan akses kepasa lapangan kerja, serta peningkatan kemakmuran yang nyata (Atmaja dan Mahalli</w:t>
      </w:r>
      <w:proofErr w:type="gramStart"/>
      <w:r w:rsidRPr="00516588">
        <w:rPr>
          <w:rFonts w:ascii="Times New Roman" w:eastAsia="Times New Roman" w:hAnsi="Times New Roman" w:cs="Times New Roman"/>
          <w:sz w:val="24"/>
          <w:szCs w:val="24"/>
        </w:rPr>
        <w:t>,2015</w:t>
      </w:r>
      <w:proofErr w:type="gramEnd"/>
      <w:r w:rsidRPr="00516588">
        <w:rPr>
          <w:rFonts w:ascii="Times New Roman" w:eastAsia="Times New Roman" w:hAnsi="Times New Roman" w:cs="Times New Roman"/>
          <w:sz w:val="24"/>
          <w:szCs w:val="24"/>
        </w:rPr>
        <w:t>).</w:t>
      </w:r>
    </w:p>
    <w:p w:rsidR="00516588" w:rsidRDefault="00516588" w:rsidP="00BC413C">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Selain itu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juga diprioritaskan untuk membiayai kegiatan pada bidang pemberdayaan masyarakat desa, dimana dalam bidang pemberdayaan masyarakat desa terdapat sub bidang pertanian dan perikanan. Berdasarkan prioritas penggunaan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pada tahun 2019 dan 2020, dana desa diprioritas kan untuk pemulihan perekonomian desa dan pengembangan sektor prioritas. Salah satunya untuk pengembangan sektor pertanian dan peternakan, untuk sektor ini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dapat dipergunakan untuk pemberdayaan sektor usaha pertanian dan program ketahanan pangan dan ketahanan hewani sesuai dengan karakteristik desa melalui pengembangan usaha budidaya pertanian, perikanan, peternakan di desa, termasuk peternakan sapi. </w:t>
      </w:r>
      <w:proofErr w:type="gramStart"/>
      <w:r w:rsidRPr="00516588">
        <w:rPr>
          <w:rFonts w:ascii="Times New Roman" w:eastAsia="Times New Roman" w:hAnsi="Times New Roman" w:cs="Times New Roman"/>
          <w:sz w:val="24"/>
          <w:szCs w:val="24"/>
        </w:rPr>
        <w:t>Penduduk di Kabupaten Pemalang mayoritas bermatapencaharian dibidang pertanian dan perikanan.</w:t>
      </w:r>
      <w:proofErr w:type="gramEnd"/>
      <w:r w:rsidRPr="00516588">
        <w:rPr>
          <w:rFonts w:ascii="Times New Roman" w:eastAsia="Times New Roman" w:hAnsi="Times New Roman" w:cs="Times New Roman"/>
          <w:sz w:val="24"/>
          <w:szCs w:val="24"/>
        </w:rPr>
        <w:t xml:space="preserve"> Berdasarkan data potensi desa yang di terbitkan oleh BPS Kabupaten Pemalang dapat dilihat mayoritas matapencaharian penduduk Kabupaten </w:t>
      </w:r>
      <w:proofErr w:type="gramStart"/>
      <w:r w:rsidRPr="00516588">
        <w:rPr>
          <w:rFonts w:ascii="Times New Roman" w:eastAsia="Times New Roman" w:hAnsi="Times New Roman" w:cs="Times New Roman"/>
          <w:sz w:val="24"/>
          <w:szCs w:val="24"/>
        </w:rPr>
        <w:t>Pemalang :</w:t>
      </w:r>
      <w:proofErr w:type="gramEnd"/>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Default="00BC413C" w:rsidP="00BC413C">
      <w:pPr>
        <w:spacing w:after="0" w:line="240" w:lineRule="auto"/>
        <w:ind w:firstLine="720"/>
        <w:jc w:val="both"/>
        <w:rPr>
          <w:rFonts w:ascii="Times New Roman" w:eastAsia="Times New Roman" w:hAnsi="Times New Roman" w:cs="Times New Roman"/>
          <w:sz w:val="24"/>
          <w:szCs w:val="24"/>
        </w:rPr>
      </w:pPr>
    </w:p>
    <w:p w:rsidR="00BC413C" w:rsidRPr="00516588" w:rsidRDefault="00BC413C" w:rsidP="00BC413C">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center"/>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lastRenderedPageBreak/>
        <w:t>Tabel 1.1</w:t>
      </w:r>
    </w:p>
    <w:p w:rsidR="00516588" w:rsidRPr="00516588" w:rsidRDefault="00516588" w:rsidP="00516588">
      <w:pPr>
        <w:spacing w:after="0" w:line="240" w:lineRule="auto"/>
        <w:jc w:val="center"/>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Banyaknya Desa menurut sumber penghasilan utama sebagian besar penduduk di Kabupaten Pemalang Tahun 2019-2020</w:t>
      </w:r>
    </w:p>
    <w:p w:rsidR="00516588" w:rsidRPr="00516588" w:rsidRDefault="00516588" w:rsidP="00516588">
      <w:pPr>
        <w:spacing w:after="0" w:line="240" w:lineRule="auto"/>
        <w:jc w:val="center"/>
        <w:rPr>
          <w:rFonts w:ascii="Times New Roman" w:eastAsia="Times New Roman" w:hAnsi="Times New Roman" w:cs="Times New Roman"/>
          <w:b/>
          <w:sz w:val="24"/>
          <w:szCs w:val="24"/>
        </w:rPr>
      </w:pPr>
    </w:p>
    <w:tbl>
      <w:tblPr>
        <w:tblW w:w="6087" w:type="dxa"/>
        <w:jc w:val="center"/>
        <w:tblInd w:w="70" w:type="dxa"/>
        <w:tblLayout w:type="fixed"/>
        <w:tblLook w:val="04A0" w:firstRow="1" w:lastRow="0" w:firstColumn="1" w:lastColumn="0" w:noHBand="0" w:noVBand="1"/>
      </w:tblPr>
      <w:tblGrid>
        <w:gridCol w:w="1655"/>
        <w:gridCol w:w="1282"/>
        <w:gridCol w:w="1440"/>
        <w:gridCol w:w="1710"/>
      </w:tblGrid>
      <w:tr w:rsidR="00516588" w:rsidRPr="00516588" w:rsidTr="005451C4">
        <w:trPr>
          <w:trHeight w:val="325"/>
          <w:jc w:val="center"/>
        </w:trPr>
        <w:tc>
          <w:tcPr>
            <w:tcW w:w="1655" w:type="dxa"/>
            <w:tcBorders>
              <w:top w:val="single" w:sz="4" w:space="0" w:color="auto"/>
              <w:bottom w:val="single" w:sz="4" w:space="0" w:color="auto"/>
            </w:tcBorders>
            <w:shd w:val="clear" w:color="auto" w:fill="auto"/>
            <w:vAlign w:val="center"/>
          </w:tcPr>
          <w:p w:rsidR="00516588" w:rsidRPr="00516588" w:rsidRDefault="00516588" w:rsidP="00516588">
            <w:pPr>
              <w:spacing w:after="0" w:line="240" w:lineRule="auto"/>
              <w:jc w:val="center"/>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Kecamatan</w:t>
            </w:r>
          </w:p>
        </w:tc>
        <w:tc>
          <w:tcPr>
            <w:tcW w:w="1282" w:type="dxa"/>
            <w:tcBorders>
              <w:top w:val="single" w:sz="4" w:space="0" w:color="auto"/>
              <w:bottom w:val="single" w:sz="4" w:space="0" w:color="auto"/>
            </w:tcBorders>
            <w:shd w:val="clear" w:color="auto" w:fill="auto"/>
            <w:vAlign w:val="center"/>
          </w:tcPr>
          <w:p w:rsidR="00516588" w:rsidRPr="00516588" w:rsidRDefault="00516588" w:rsidP="00516588">
            <w:pPr>
              <w:spacing w:after="0" w:line="240" w:lineRule="auto"/>
              <w:jc w:val="center"/>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Pertanian</w:t>
            </w:r>
          </w:p>
        </w:tc>
        <w:tc>
          <w:tcPr>
            <w:tcW w:w="1440" w:type="dxa"/>
            <w:tcBorders>
              <w:top w:val="single" w:sz="4" w:space="0" w:color="auto"/>
              <w:bottom w:val="single" w:sz="4" w:space="0" w:color="auto"/>
            </w:tcBorders>
            <w:shd w:val="clear" w:color="auto" w:fill="auto"/>
            <w:vAlign w:val="center"/>
          </w:tcPr>
          <w:p w:rsidR="00516588" w:rsidRPr="00516588" w:rsidRDefault="00516588" w:rsidP="00516588">
            <w:pPr>
              <w:spacing w:after="0" w:line="240" w:lineRule="auto"/>
              <w:jc w:val="center"/>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Industri Pengolahan</w:t>
            </w:r>
          </w:p>
        </w:tc>
        <w:tc>
          <w:tcPr>
            <w:tcW w:w="1710" w:type="dxa"/>
            <w:tcBorders>
              <w:top w:val="single" w:sz="4" w:space="0" w:color="auto"/>
              <w:bottom w:val="single" w:sz="4" w:space="0" w:color="auto"/>
            </w:tcBorders>
            <w:shd w:val="clear" w:color="auto" w:fill="auto"/>
            <w:vAlign w:val="center"/>
          </w:tcPr>
          <w:p w:rsidR="00516588" w:rsidRPr="00516588" w:rsidRDefault="00516588" w:rsidP="00516588">
            <w:pPr>
              <w:spacing w:after="0" w:line="240" w:lineRule="auto"/>
              <w:jc w:val="center"/>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Perdagangan Besar/Eceran</w:t>
            </w:r>
          </w:p>
        </w:tc>
      </w:tr>
      <w:tr w:rsidR="00516588" w:rsidRPr="00516588" w:rsidTr="005451C4">
        <w:trPr>
          <w:trHeight w:val="20"/>
          <w:jc w:val="center"/>
        </w:trPr>
        <w:tc>
          <w:tcPr>
            <w:tcW w:w="1655" w:type="dxa"/>
            <w:tcBorders>
              <w:top w:val="single" w:sz="4" w:space="0" w:color="auto"/>
            </w:tcBorders>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Moga</w:t>
            </w:r>
          </w:p>
        </w:tc>
        <w:tc>
          <w:tcPr>
            <w:tcW w:w="1282" w:type="dxa"/>
            <w:tcBorders>
              <w:top w:val="single" w:sz="4" w:space="0" w:color="auto"/>
            </w:tcBorders>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8</w:t>
            </w:r>
          </w:p>
        </w:tc>
        <w:tc>
          <w:tcPr>
            <w:tcW w:w="1440" w:type="dxa"/>
            <w:tcBorders>
              <w:top w:val="single" w:sz="4" w:space="0" w:color="auto"/>
            </w:tcBorders>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tcBorders>
              <w:top w:val="single" w:sz="4" w:space="0" w:color="auto"/>
            </w:tcBorders>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2</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Warungpring</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6</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Pulosari</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12</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Belik</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12</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Watukumpul</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15</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Bodeh</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19</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Bantarbolang</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17</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Randudongkal</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17</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Pemalang</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16</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4</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Taman</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14</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2</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3</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Petarukan</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20</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Ampelgading</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16</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r w:rsidR="00516588" w:rsidRPr="00516588" w:rsidTr="005451C4">
        <w:trPr>
          <w:trHeight w:val="20"/>
          <w:jc w:val="center"/>
        </w:trPr>
        <w:tc>
          <w:tcPr>
            <w:tcW w:w="1655" w:type="dxa"/>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Comal</w:t>
            </w:r>
          </w:p>
        </w:tc>
        <w:tc>
          <w:tcPr>
            <w:tcW w:w="1282"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15</w:t>
            </w:r>
          </w:p>
        </w:tc>
        <w:tc>
          <w:tcPr>
            <w:tcW w:w="144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w:t>
            </w:r>
          </w:p>
        </w:tc>
        <w:tc>
          <w:tcPr>
            <w:tcW w:w="1710" w:type="dxa"/>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2</w:t>
            </w:r>
          </w:p>
        </w:tc>
      </w:tr>
      <w:tr w:rsidR="00516588" w:rsidRPr="00516588" w:rsidTr="005451C4">
        <w:trPr>
          <w:trHeight w:val="20"/>
          <w:jc w:val="center"/>
        </w:trPr>
        <w:tc>
          <w:tcPr>
            <w:tcW w:w="1655" w:type="dxa"/>
            <w:tcBorders>
              <w:bottom w:val="single" w:sz="4" w:space="0" w:color="auto"/>
            </w:tcBorders>
            <w:shd w:val="clear" w:color="auto" w:fill="auto"/>
            <w:vAlign w:val="bottom"/>
          </w:tcPr>
          <w:p w:rsidR="00516588" w:rsidRPr="00516588" w:rsidRDefault="00516588" w:rsidP="00516588">
            <w:pPr>
              <w:spacing w:line="12" w:lineRule="atLeast"/>
              <w:contextualSpacing/>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Ulujami</w:t>
            </w:r>
          </w:p>
        </w:tc>
        <w:tc>
          <w:tcPr>
            <w:tcW w:w="1282" w:type="dxa"/>
            <w:tcBorders>
              <w:bottom w:val="single" w:sz="4" w:space="0" w:color="auto"/>
            </w:tcBorders>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18</w:t>
            </w:r>
          </w:p>
        </w:tc>
        <w:tc>
          <w:tcPr>
            <w:tcW w:w="1440" w:type="dxa"/>
            <w:tcBorders>
              <w:bottom w:val="single" w:sz="4" w:space="0" w:color="auto"/>
            </w:tcBorders>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c>
          <w:tcPr>
            <w:tcW w:w="1710" w:type="dxa"/>
            <w:tcBorders>
              <w:bottom w:val="single" w:sz="4" w:space="0" w:color="auto"/>
            </w:tcBorders>
            <w:shd w:val="clear" w:color="auto" w:fill="auto"/>
          </w:tcPr>
          <w:p w:rsidR="00516588" w:rsidRPr="00516588" w:rsidRDefault="00516588" w:rsidP="00516588">
            <w:pPr>
              <w:spacing w:after="0" w:line="12" w:lineRule="atLeast"/>
              <w:jc w:val="center"/>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w:t>
            </w:r>
          </w:p>
        </w:tc>
      </w:tr>
    </w:tbl>
    <w:p w:rsidR="00516588" w:rsidRPr="00516588" w:rsidRDefault="00516588" w:rsidP="00516588">
      <w:pPr>
        <w:spacing w:after="0" w:line="360" w:lineRule="auto"/>
        <w:jc w:val="center"/>
        <w:rPr>
          <w:rFonts w:ascii="Times New Roman" w:eastAsia="Times New Roman" w:hAnsi="Times New Roman" w:cs="Times New Roman"/>
          <w:sz w:val="24"/>
          <w:szCs w:val="24"/>
        </w:rPr>
      </w:pPr>
      <w:r w:rsidRPr="00516588">
        <w:rPr>
          <w:rFonts w:ascii="Times New Roman" w:eastAsia="Times New Roman" w:hAnsi="Times New Roman" w:cs="Times New Roman"/>
          <w:i/>
          <w:sz w:val="24"/>
          <w:szCs w:val="24"/>
        </w:rPr>
        <w:t>Sumber: Statistik Potensial Desa Kabupaten Pemalang, 2020.</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Matapencaharian masyarakat desa di Kabupaten Pemalang sebagian besar dalam bidang pertanian, dimana hanya ada dua desa di Kecamatan Taman dan satu desa di Kecamatan Comal yang masyarakatnya bermatapencaharian di bidang industri pengolahan dan untuk bidang perdagangan besar/eceran hanya terdapat di Kecamatan Moga, Kecamatan Randudongkal, Kecamatan Pemalang, Kecamatan Taman dan Kecamatan Comal.</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Masih tingginya angka kemiskinan desa di Kabupaten Pemalang apakah dipengaruhi oleh pengalokasian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untuk bidang pembangunan desa dan pengalokasian dana desa untuk bidang pemberdayaan desa. Berdasarkan teori lingkaran setan kemiskinan yang dikemukakan oleh Ragnar Nurkse (1953) kemiskinan bukan hanya disebabkan oleh tidak adanya pembangunan pada masa itu, tetapi kemiskinan juga dapat menjadi faktor penghambat dalam pembangunan dimasa yang </w:t>
      </w:r>
      <w:proofErr w:type="gramStart"/>
      <w:r w:rsidRPr="00516588">
        <w:rPr>
          <w:rFonts w:ascii="Times New Roman" w:eastAsia="Times New Roman" w:hAnsi="Times New Roman" w:cs="Times New Roman"/>
          <w:sz w:val="24"/>
          <w:szCs w:val="24"/>
        </w:rPr>
        <w:t>akan</w:t>
      </w:r>
      <w:proofErr w:type="gramEnd"/>
      <w:r w:rsidRPr="00516588">
        <w:rPr>
          <w:rFonts w:ascii="Times New Roman" w:eastAsia="Times New Roman" w:hAnsi="Times New Roman" w:cs="Times New Roman"/>
          <w:sz w:val="24"/>
          <w:szCs w:val="24"/>
        </w:rPr>
        <w:t xml:space="preserve"> datang. Salah satu faktor sebagai penyebab timbulnya lingkaran setan kemiskinan adalah adanya hambatan yang sangat kuat dalam proses pembentukan modal (Arsyad</w:t>
      </w:r>
      <w:proofErr w:type="gramStart"/>
      <w:r w:rsidRPr="00516588">
        <w:rPr>
          <w:rFonts w:ascii="Times New Roman" w:eastAsia="Times New Roman" w:hAnsi="Times New Roman" w:cs="Times New Roman"/>
          <w:sz w:val="24"/>
          <w:szCs w:val="24"/>
        </w:rPr>
        <w:t>,2015</w:t>
      </w:r>
      <w:proofErr w:type="gramEnd"/>
      <w:r w:rsidRPr="00516588">
        <w:rPr>
          <w:rFonts w:ascii="Times New Roman" w:eastAsia="Times New Roman" w:hAnsi="Times New Roman" w:cs="Times New Roman"/>
          <w:sz w:val="24"/>
          <w:szCs w:val="24"/>
        </w:rPr>
        <w:t xml:space="preserve">). Pada salah sisi, pembentukan modal ditentukan oleh tingkat tabungan, dan pada satu sisi lain pembentukan modal dipengaruhi oleh ada tidaknya faktor pendorong investasi. </w:t>
      </w:r>
      <w:proofErr w:type="gramStart"/>
      <w:r w:rsidRPr="00516588">
        <w:rPr>
          <w:rFonts w:ascii="Times New Roman" w:eastAsia="Times New Roman" w:hAnsi="Times New Roman" w:cs="Times New Roman"/>
          <w:sz w:val="24"/>
          <w:szCs w:val="24"/>
        </w:rPr>
        <w:t>Di negara berkembang kedua faktor tersebut tidak memungkinkan untuk terjadinya tingkat pembentukan modal yang tinggi.</w:t>
      </w:r>
      <w:proofErr w:type="gramEnd"/>
      <w:r w:rsidRPr="00516588">
        <w:rPr>
          <w:rFonts w:ascii="Times New Roman" w:eastAsia="Times New Roman" w:hAnsi="Times New Roman" w:cs="Times New Roman"/>
          <w:sz w:val="24"/>
          <w:szCs w:val="24"/>
        </w:rPr>
        <w:t xml:space="preserve"> </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Masih tingginya kemiskinan pada masyarakat desa menjadikan pemerintah meluncurkan kebijakan yang membuat masyarakat tidak hanya sebagai subjek tetapi juga sebagai objek dalam kebijakan tersebut.</w:t>
      </w:r>
      <w:proofErr w:type="gramEnd"/>
      <w:r w:rsidRPr="00516588">
        <w:rPr>
          <w:rFonts w:ascii="Times New Roman" w:eastAsia="Times New Roman" w:hAnsi="Times New Roman" w:cs="Times New Roman"/>
          <w:sz w:val="24"/>
          <w:szCs w:val="24"/>
        </w:rPr>
        <w:t xml:space="preserve"> Melalui Undang-Undang Nomor 6 Tahun 2014 tentang Desa pemerintah melakukan desentralisasi fiskal dengan melakukan transfer langsung kepada pemerintah desa yang bertujuan untuk meningkatkan kesejahteraan masyarakat dan dapat menurunkan jumlah masyarakat miskin di wilayah pedesaan. </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Atas dasar regulasi serta data dengan berbagai masalah dan kondisi yang ada di Kabupaten Pemalang maka dilakukan kajian tentang bagaimana pengaruh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yang digunakan dalam bidang pembangunan desa dan dana desa yang digunakan dalam bidang pemberdayaan masyarakat desa terhadap kemiskinan desa. Beberapa penelitian yang telah </w:t>
      </w:r>
      <w:r w:rsidRPr="00516588">
        <w:rPr>
          <w:rFonts w:ascii="Times New Roman" w:eastAsia="Times New Roman" w:hAnsi="Times New Roman" w:cs="Times New Roman"/>
          <w:sz w:val="24"/>
          <w:szCs w:val="24"/>
        </w:rPr>
        <w:lastRenderedPageBreak/>
        <w:t xml:space="preserve">dilakukan menyebutkan jika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memberikan pengaruh yang signifikan negatif terhadap kemiskinan desa.</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TINJAUAN PUSTAKA</w:t>
      </w:r>
    </w:p>
    <w:p w:rsidR="00516588" w:rsidRPr="00516588" w:rsidRDefault="00516588" w:rsidP="00516588">
      <w:pPr>
        <w:spacing w:after="0" w:line="240" w:lineRule="auto"/>
        <w:jc w:val="both"/>
        <w:rPr>
          <w:rFonts w:ascii="Times New Roman" w:eastAsia="Times New Roman" w:hAnsi="Times New Roman" w:cs="Times New Roman"/>
          <w:sz w:val="24"/>
          <w:szCs w:val="24"/>
        </w:rPr>
      </w:pPr>
      <w:r w:rsidRPr="00516588">
        <w:rPr>
          <w:rFonts w:ascii="Times New Roman" w:eastAsia="Times New Roman" w:hAnsi="Times New Roman" w:cs="Times New Roman"/>
          <w:b/>
          <w:sz w:val="24"/>
          <w:szCs w:val="24"/>
        </w:rPr>
        <w:t>Teori Desentralisasi Fiskal</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Menjelaskan masalah desentralisasi fiskal tidak dapat dipisahkan dengan konsep desentralisasi secara umum yang didalamnya menyangkut masalah administrasi dan politik.</w:t>
      </w:r>
      <w:proofErr w:type="gramEnd"/>
      <w:r w:rsidRPr="00516588">
        <w:rPr>
          <w:rFonts w:ascii="Times New Roman" w:eastAsia="Times New Roman" w:hAnsi="Times New Roman" w:cs="Times New Roman"/>
          <w:sz w:val="24"/>
          <w:szCs w:val="24"/>
        </w:rPr>
        <w:t xml:space="preserve"> Oleh karena itu mendefinisikan desentralisasi fiskal </w:t>
      </w:r>
      <w:proofErr w:type="gramStart"/>
      <w:r w:rsidRPr="00516588">
        <w:rPr>
          <w:rFonts w:ascii="Times New Roman" w:eastAsia="Times New Roman" w:hAnsi="Times New Roman" w:cs="Times New Roman"/>
          <w:sz w:val="24"/>
          <w:szCs w:val="24"/>
        </w:rPr>
        <w:t>akan</w:t>
      </w:r>
      <w:proofErr w:type="gramEnd"/>
      <w:r w:rsidRPr="00516588">
        <w:rPr>
          <w:rFonts w:ascii="Times New Roman" w:eastAsia="Times New Roman" w:hAnsi="Times New Roman" w:cs="Times New Roman"/>
          <w:sz w:val="24"/>
          <w:szCs w:val="24"/>
        </w:rPr>
        <w:t xml:space="preserve"> selalu berkaitan satu sama lain ketiga hal tersebut, dan merupakan prasyarat untuk mencapai tujuan desentralisasi, yakni meningkatkan kesejahteraan masyarakat. </w:t>
      </w:r>
      <w:proofErr w:type="gramStart"/>
      <w:r w:rsidRPr="00516588">
        <w:rPr>
          <w:rFonts w:ascii="Times New Roman" w:eastAsia="Times New Roman" w:hAnsi="Times New Roman" w:cs="Times New Roman"/>
          <w:sz w:val="24"/>
          <w:szCs w:val="24"/>
        </w:rPr>
        <w:t>Desentralisasi politik merupakan tonggak terwujudnya demokrasisasi dan peningkatan partisipasi masyarakat dalam kegiatan pemerintahan dan pembangunan.</w:t>
      </w:r>
      <w:proofErr w:type="gramEnd"/>
      <w:r w:rsidRPr="00516588">
        <w:rPr>
          <w:rFonts w:ascii="Times New Roman" w:eastAsia="Times New Roman" w:hAnsi="Times New Roman" w:cs="Times New Roman"/>
          <w:sz w:val="24"/>
          <w:szCs w:val="24"/>
        </w:rPr>
        <w:t xml:space="preserve"> Sementara desentralisasi administrasi merupakan instrument untuk menjalankan pelayanan kepada masyarakat, dan desentralisasi fiskal memiliki fungsi untuk mewujudkan pelaksanaan desentralisasi politik dan administrasi melalui pelimpahan kewenangan di bidang fiskal (Mardiasmo</w:t>
      </w:r>
      <w:proofErr w:type="gramStart"/>
      <w:r w:rsidRPr="00516588">
        <w:rPr>
          <w:rFonts w:ascii="Times New Roman" w:eastAsia="Times New Roman" w:hAnsi="Times New Roman" w:cs="Times New Roman"/>
          <w:sz w:val="24"/>
          <w:szCs w:val="24"/>
        </w:rPr>
        <w:t>,2009:563</w:t>
      </w:r>
      <w:proofErr w:type="gramEnd"/>
      <w:r w:rsidRPr="00516588">
        <w:rPr>
          <w:rFonts w:ascii="Times New Roman" w:eastAsia="Times New Roman" w:hAnsi="Times New Roman" w:cs="Times New Roman"/>
          <w:sz w:val="24"/>
          <w:szCs w:val="24"/>
        </w:rPr>
        <w:t>).</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Secara prinsipil ketiga jenis desentralisasi tersebut semua </w:t>
      </w:r>
      <w:proofErr w:type="gramStart"/>
      <w:r w:rsidRPr="00516588">
        <w:rPr>
          <w:rFonts w:ascii="Times New Roman" w:eastAsia="Times New Roman" w:hAnsi="Times New Roman" w:cs="Times New Roman"/>
          <w:sz w:val="24"/>
          <w:szCs w:val="24"/>
        </w:rPr>
        <w:t>menekankan  pelimpahan</w:t>
      </w:r>
      <w:proofErr w:type="gramEnd"/>
      <w:r w:rsidRPr="00516588">
        <w:rPr>
          <w:rFonts w:ascii="Times New Roman" w:eastAsia="Times New Roman" w:hAnsi="Times New Roman" w:cs="Times New Roman"/>
          <w:sz w:val="24"/>
          <w:szCs w:val="24"/>
        </w:rPr>
        <w:t xml:space="preserve"> kewenangan ke pemerintah daerah, diikuti oleh pembiayaan dari pemerintah pusat. </w:t>
      </w:r>
      <w:proofErr w:type="gramStart"/>
      <w:r w:rsidRPr="00516588">
        <w:rPr>
          <w:rFonts w:ascii="Times New Roman" w:eastAsia="Times New Roman" w:hAnsi="Times New Roman" w:cs="Times New Roman"/>
          <w:sz w:val="24"/>
          <w:szCs w:val="24"/>
        </w:rPr>
        <w:t>Maka dari itu desentralisasi dapat dimaknai sebagai gambaran sejauh mana kewenangan dipegang oleh pemerintah daerah untuk mampu mengambil keputusan sendiri yang mengikat beberapa kebijakan pada ruang lingkup pemerintahan daerah (Litvack et. al, 1998:8).</w:t>
      </w:r>
      <w:proofErr w:type="gramEnd"/>
      <w:r w:rsidRPr="00516588">
        <w:rPr>
          <w:rFonts w:ascii="Times New Roman" w:eastAsia="Times New Roman" w:hAnsi="Times New Roman" w:cs="Times New Roman"/>
          <w:sz w:val="24"/>
          <w:szCs w:val="24"/>
        </w:rPr>
        <w:t xml:space="preserve"> Mencermati ketiga jenis </w:t>
      </w:r>
      <w:proofErr w:type="gramStart"/>
      <w:r w:rsidRPr="00516588">
        <w:rPr>
          <w:rFonts w:ascii="Times New Roman" w:eastAsia="Times New Roman" w:hAnsi="Times New Roman" w:cs="Times New Roman"/>
          <w:sz w:val="24"/>
          <w:szCs w:val="24"/>
        </w:rPr>
        <w:t>desentralisasi  penjebarannya</w:t>
      </w:r>
      <w:proofErr w:type="gramEnd"/>
      <w:r w:rsidRPr="00516588">
        <w:rPr>
          <w:rFonts w:ascii="Times New Roman" w:eastAsia="Times New Roman" w:hAnsi="Times New Roman" w:cs="Times New Roman"/>
          <w:sz w:val="24"/>
          <w:szCs w:val="24"/>
        </w:rPr>
        <w:t xml:space="preserve"> cukup luas, maka uraian selanjutnya lebih fokus mengkaji masalah desentralisasi fiskal. Dimana desentralisasi fiskal salah satu instrument kebijakan pemerintah bertujuan untuk mengurangi kesenjangan fiskal antara pemerintah pusat dan daerah, serta antar daerah lainnya, disertai perbaikan pelayanan publik, efisiensi pemanfaatan sumber daya, disamping itu untuk meningkatkan akuntabilitas pengelolaan keuangan daerah.  </w:t>
      </w:r>
      <w:proofErr w:type="gramStart"/>
      <w:r w:rsidRPr="00516588">
        <w:rPr>
          <w:rFonts w:ascii="Times New Roman" w:eastAsia="Times New Roman" w:hAnsi="Times New Roman" w:cs="Times New Roman"/>
          <w:sz w:val="24"/>
          <w:szCs w:val="24"/>
        </w:rPr>
        <w:t>Dalam tataran lebih aplikasi, desentralisasi fiskal sebagai pelimpahan kewenangan pengelolaan potensi ekonomi dan sumber lainnya di daerah, namun tetap disertai transfer dari pemerintah pusat.</w:t>
      </w:r>
      <w:proofErr w:type="gramEnd"/>
      <w:r w:rsidRPr="00516588">
        <w:rPr>
          <w:rFonts w:ascii="Times New Roman" w:eastAsia="Times New Roman" w:hAnsi="Times New Roman" w:cs="Times New Roman"/>
          <w:sz w:val="24"/>
          <w:szCs w:val="24"/>
        </w:rPr>
        <w:t xml:space="preserve"> Besarnya transfer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ke daerah dan kemungkinan peningkatan penerimaan diharapkan memiliki korelasi yang kuat terhadap peningkatan kesejahteraan masyarakat. </w:t>
      </w:r>
      <w:proofErr w:type="gramStart"/>
      <w:r w:rsidRPr="00516588">
        <w:rPr>
          <w:rFonts w:ascii="Times New Roman" w:eastAsia="Times New Roman" w:hAnsi="Times New Roman" w:cs="Times New Roman"/>
          <w:sz w:val="24"/>
          <w:szCs w:val="24"/>
        </w:rPr>
        <w:t>Hal ini terjadi karena pemerintah daerah memiliki kewenangan untuk memprioritaskan kegiatan yang lebih tepat sasaran, intervensi dari pemerintah ditingkat atas relatif minim, sehingga daerah lebih mandiri mengambil keputusan.</w:t>
      </w:r>
      <w:proofErr w:type="gramEnd"/>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Teori Transfer antar Tingkat Pemerintah</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Perimbangan keuangan pusat dan daerah atau transfer antar tingkat pemerintah (</w:t>
      </w:r>
      <w:r w:rsidRPr="00516588">
        <w:rPr>
          <w:rFonts w:ascii="Times New Roman" w:eastAsia="Times New Roman" w:hAnsi="Times New Roman" w:cs="Times New Roman"/>
          <w:i/>
          <w:sz w:val="24"/>
          <w:szCs w:val="24"/>
        </w:rPr>
        <w:t>intergovernmental fiscal transfers</w:t>
      </w:r>
      <w:r w:rsidRPr="00516588">
        <w:rPr>
          <w:rFonts w:ascii="Times New Roman" w:eastAsia="Times New Roman" w:hAnsi="Times New Roman" w:cs="Times New Roman"/>
          <w:sz w:val="24"/>
          <w:szCs w:val="24"/>
        </w:rPr>
        <w:t>) merupakan salah satu bentuk hubungan yang umum dilaksanakan dibanyak negara. Hubungan fiskal antar tingkat pemerintahan menggambarkan hubungan keuangan diantara berbagai tingkat pemerintahan, yang meliputi berbagai aktifitas keuangan pemerintah seperti perpajakan, pengeluaran, pinjaman, subsidi, transfer dan hibah. Transfer fiskal antar tingkat pemerintahan terdiri atas hibah (</w:t>
      </w:r>
      <w:r w:rsidRPr="00516588">
        <w:rPr>
          <w:rFonts w:ascii="Times New Roman" w:eastAsia="Times New Roman" w:hAnsi="Times New Roman" w:cs="Times New Roman"/>
          <w:i/>
          <w:sz w:val="24"/>
          <w:szCs w:val="24"/>
        </w:rPr>
        <w:t>grants</w:t>
      </w:r>
      <w:r w:rsidRPr="00516588">
        <w:rPr>
          <w:rFonts w:ascii="Times New Roman" w:eastAsia="Times New Roman" w:hAnsi="Times New Roman" w:cs="Times New Roman"/>
          <w:sz w:val="24"/>
          <w:szCs w:val="24"/>
        </w:rPr>
        <w:t>), dan berbagai hasil (</w:t>
      </w:r>
      <w:r w:rsidRPr="00516588">
        <w:rPr>
          <w:rFonts w:ascii="Times New Roman" w:eastAsia="Times New Roman" w:hAnsi="Times New Roman" w:cs="Times New Roman"/>
          <w:i/>
          <w:sz w:val="24"/>
          <w:szCs w:val="24"/>
        </w:rPr>
        <w:t>revenue-sharing</w:t>
      </w:r>
      <w:r w:rsidRPr="00516588">
        <w:rPr>
          <w:rFonts w:ascii="Times New Roman" w:eastAsia="Times New Roman" w:hAnsi="Times New Roman" w:cs="Times New Roman"/>
          <w:sz w:val="24"/>
          <w:szCs w:val="24"/>
        </w:rPr>
        <w:t>) merupakan sumber penerimaan yang paling dominan bagi tingkat pemerintahan daerah dibanyak negara sedang berkembang.dimana desain dari transfer tersebut memiliki pengaruh terhadap efisiensi dan keadilan atau pemerataan penyediaan banrang publik dari pemerintah daerah. Atas dasar itu maka diperluhkan desain transfer untuk menentukan keberhasilan desentralisasi fiskal (Litvack, et.al. 1998:12).</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Ma (1997: 4-5) menyebutkan bahwa model intergovernmental fiscal transfer pada dasarnya dapat dikelompokkan sebagai berikut:</w:t>
      </w:r>
    </w:p>
    <w:p w:rsidR="00516588" w:rsidRPr="00516588" w:rsidRDefault="00516588" w:rsidP="00516588">
      <w:pPr>
        <w:numPr>
          <w:ilvl w:val="0"/>
          <w:numId w:val="1"/>
        </w:numPr>
        <w:spacing w:after="0" w:line="240" w:lineRule="auto"/>
        <w:ind w:left="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Model alokasi transfer yang mempertimbangkan kesenjangan fiskal (fiscal gap).</w:t>
      </w:r>
    </w:p>
    <w:p w:rsidR="00516588" w:rsidRPr="00516588" w:rsidRDefault="00516588" w:rsidP="00516588">
      <w:pPr>
        <w:numPr>
          <w:ilvl w:val="0"/>
          <w:numId w:val="1"/>
        </w:numPr>
        <w:spacing w:after="0" w:line="240" w:lineRule="auto"/>
        <w:ind w:left="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lastRenderedPageBreak/>
        <w:t>Model alokasi transfer berdasarkan pertimbangan kapasitas fiskal (fiscal capacity) antar daerah.</w:t>
      </w:r>
    </w:p>
    <w:p w:rsidR="00516588" w:rsidRPr="00516588" w:rsidRDefault="00516588" w:rsidP="00516588">
      <w:pPr>
        <w:numPr>
          <w:ilvl w:val="0"/>
          <w:numId w:val="1"/>
        </w:numPr>
        <w:spacing w:after="0" w:line="240" w:lineRule="auto"/>
        <w:ind w:left="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Model alokasi transfer yang didasarkan atas berbagai </w:t>
      </w:r>
      <w:proofErr w:type="gramStart"/>
      <w:r w:rsidRPr="00516588">
        <w:rPr>
          <w:rFonts w:ascii="Times New Roman" w:eastAsia="Times New Roman" w:hAnsi="Times New Roman" w:cs="Times New Roman"/>
          <w:sz w:val="24"/>
          <w:szCs w:val="24"/>
        </w:rPr>
        <w:t>indikator  “</w:t>
      </w:r>
      <w:proofErr w:type="gramEnd"/>
      <w:r w:rsidRPr="00516588">
        <w:rPr>
          <w:rFonts w:ascii="Times New Roman" w:eastAsia="Times New Roman" w:hAnsi="Times New Roman" w:cs="Times New Roman"/>
          <w:sz w:val="24"/>
          <w:szCs w:val="24"/>
        </w:rPr>
        <w:t>kebutuhan”.</w:t>
      </w:r>
    </w:p>
    <w:p w:rsidR="00516588" w:rsidRPr="00516588" w:rsidRDefault="00516588" w:rsidP="00516588">
      <w:pPr>
        <w:numPr>
          <w:ilvl w:val="0"/>
          <w:numId w:val="1"/>
        </w:numPr>
        <w:spacing w:after="0" w:line="240" w:lineRule="auto"/>
        <w:ind w:left="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Model alokasi transfer berdasarkan kesamaan basis pajak per kapita.</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Sementara itu, menurut Ma (1997:5-6), Shah (1994:37-40), Shah (2006:4-5), dan Rosen (2008:530) pada dasarnya ada dua </w:t>
      </w:r>
      <w:r w:rsidRPr="00516588">
        <w:rPr>
          <w:rFonts w:ascii="Times New Roman" w:eastAsia="Times New Roman" w:hAnsi="Times New Roman" w:cs="Times New Roman"/>
          <w:i/>
          <w:sz w:val="24"/>
          <w:szCs w:val="24"/>
        </w:rPr>
        <w:t xml:space="preserve">intergovernmental transfer </w:t>
      </w:r>
      <w:r w:rsidRPr="00516588">
        <w:rPr>
          <w:rFonts w:ascii="Times New Roman" w:eastAsia="Times New Roman" w:hAnsi="Times New Roman" w:cs="Times New Roman"/>
          <w:sz w:val="24"/>
          <w:szCs w:val="24"/>
        </w:rPr>
        <w:t>yaitu;</w:t>
      </w:r>
    </w:p>
    <w:p w:rsidR="00516588" w:rsidRPr="00516588" w:rsidRDefault="00516588" w:rsidP="00516588">
      <w:pPr>
        <w:numPr>
          <w:ilvl w:val="0"/>
          <w:numId w:val="2"/>
        </w:numPr>
        <w:spacing w:after="0" w:line="240" w:lineRule="auto"/>
        <w:ind w:left="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Hibah bersyarat (</w:t>
      </w:r>
      <w:r w:rsidRPr="00516588">
        <w:rPr>
          <w:rFonts w:ascii="Times New Roman" w:eastAsia="Times New Roman" w:hAnsi="Times New Roman" w:cs="Times New Roman"/>
          <w:i/>
          <w:sz w:val="24"/>
          <w:szCs w:val="24"/>
        </w:rPr>
        <w:t>Conditional grant</w:t>
      </w:r>
      <w:r w:rsidRPr="00516588">
        <w:rPr>
          <w:rFonts w:ascii="Times New Roman" w:eastAsia="Times New Roman" w:hAnsi="Times New Roman" w:cs="Times New Roman"/>
          <w:sz w:val="24"/>
          <w:szCs w:val="24"/>
        </w:rPr>
        <w:t>)</w:t>
      </w:r>
    </w:p>
    <w:p w:rsidR="00516588" w:rsidRDefault="00516588" w:rsidP="00516588">
      <w:pPr>
        <w:numPr>
          <w:ilvl w:val="0"/>
          <w:numId w:val="2"/>
        </w:numPr>
        <w:spacing w:after="0" w:line="240" w:lineRule="auto"/>
        <w:ind w:left="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Hibah tidak bersyarat (</w:t>
      </w:r>
      <w:r w:rsidRPr="00516588">
        <w:rPr>
          <w:rFonts w:ascii="Times New Roman" w:eastAsia="Times New Roman" w:hAnsi="Times New Roman" w:cs="Times New Roman"/>
          <w:i/>
          <w:sz w:val="24"/>
          <w:szCs w:val="24"/>
        </w:rPr>
        <w:t>unconditional grants</w:t>
      </w:r>
      <w:r w:rsidRPr="00516588">
        <w:rPr>
          <w:rFonts w:ascii="Times New Roman" w:eastAsia="Times New Roman" w:hAnsi="Times New Roman" w:cs="Times New Roman"/>
          <w:sz w:val="24"/>
          <w:szCs w:val="24"/>
        </w:rPr>
        <w:t>)</w:t>
      </w:r>
    </w:p>
    <w:p w:rsidR="00BC413C" w:rsidRPr="00516588" w:rsidRDefault="00BC413C" w:rsidP="00BC413C">
      <w:pPr>
        <w:spacing w:after="0" w:line="240" w:lineRule="auto"/>
        <w:ind w:left="720"/>
        <w:contextualSpacing/>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Teori Transfer dan Pengalokasian Dana Desa</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Sejak tahun 2015, jenis transfer ke daerah bertambah selain Dana Otonomi Khusus yang diperuntukkan ke Provinsi Aceh, Papua dan Papua Barat, yakni Transfer Dana Desa sebagai konsekuansi lahirnya UU No. 6 Tahun 2014 tentang Desa. Jika dilihat dari kriteria dan jenis transfer maka transfer Dana Desa (DD) termasuk dalam jenis transfer dengan tujuan umum karena sifatnya unconditional. </w:t>
      </w:r>
      <w:proofErr w:type="gramStart"/>
      <w:r w:rsidRPr="00516588">
        <w:rPr>
          <w:rFonts w:ascii="Times New Roman" w:eastAsia="Times New Roman" w:hAnsi="Times New Roman" w:cs="Times New Roman"/>
          <w:sz w:val="24"/>
          <w:szCs w:val="24"/>
        </w:rPr>
        <w:t>Demikian juga peruntukannya tidak dirinci oleh pemerintah pusat, hanya dijelaskan bahwa Dana Desa digunakan untuk mendanai keseluruhan kewenangan desa dengan prioritas untuk mendukung program pembangunan desa dan pemberdayaan masyarakat desa.</w:t>
      </w:r>
      <w:proofErr w:type="gramEnd"/>
      <w:r w:rsidRPr="00516588">
        <w:rPr>
          <w:rFonts w:ascii="Times New Roman" w:eastAsia="Times New Roman" w:hAnsi="Times New Roman" w:cs="Times New Roman"/>
          <w:sz w:val="24"/>
          <w:szCs w:val="24"/>
        </w:rPr>
        <w:t xml:space="preserve"> apabila mangacu pada UU No.6 Tahun 2014 tentang Desa, Dana Desa memiliki formulasi perhitungan lebih mirip dengan DAU, adapun formulasi perhitungan Pengalokasian Dana Desa sebagai berikut:</w:t>
      </w:r>
    </w:p>
    <w:p w:rsidR="00516588" w:rsidRPr="00516588" w:rsidRDefault="00516588" w:rsidP="00516588">
      <w:pPr>
        <w:spacing w:after="0" w:line="360" w:lineRule="auto"/>
        <w:jc w:val="center"/>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DD Kab = AD Kab + AA Kab + AK Kab + AF Kab</w:t>
      </w:r>
    </w:p>
    <w:p w:rsidR="00516588" w:rsidRPr="00516588" w:rsidRDefault="00516588" w:rsidP="00516588">
      <w:pPr>
        <w:spacing w:after="0" w:line="360" w:lineRule="auto"/>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Dimana:</w:t>
      </w:r>
    </w:p>
    <w:p w:rsidR="00516588" w:rsidRPr="00516588" w:rsidRDefault="00516588" w:rsidP="00516588">
      <w:pPr>
        <w:ind w:left="720" w:hanging="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DD Kab</w:t>
      </w:r>
      <w:r w:rsidRPr="00516588">
        <w:rPr>
          <w:rFonts w:ascii="Times New Roman" w:eastAsia="Times New Roman" w:hAnsi="Times New Roman" w:cs="Times New Roman"/>
          <w:sz w:val="24"/>
          <w:szCs w:val="24"/>
        </w:rPr>
        <w:tab/>
        <w:t>: Dana Desa setiap Daerah Kabupaten</w:t>
      </w:r>
    </w:p>
    <w:p w:rsidR="00516588" w:rsidRPr="00516588" w:rsidRDefault="00516588" w:rsidP="00516588">
      <w:pPr>
        <w:ind w:left="720" w:hanging="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AD Kab</w:t>
      </w:r>
      <w:r w:rsidRPr="00516588">
        <w:rPr>
          <w:rFonts w:ascii="Times New Roman" w:eastAsia="Times New Roman" w:hAnsi="Times New Roman" w:cs="Times New Roman"/>
          <w:sz w:val="24"/>
          <w:szCs w:val="24"/>
        </w:rPr>
        <w:tab/>
        <w:t>: Alokasi Dasar setiap Daerah Kabupaten</w:t>
      </w:r>
    </w:p>
    <w:p w:rsidR="00516588" w:rsidRPr="00516588" w:rsidRDefault="00516588" w:rsidP="00516588">
      <w:pPr>
        <w:ind w:left="720" w:hanging="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AA Kab</w:t>
      </w:r>
      <w:r w:rsidRPr="00516588">
        <w:rPr>
          <w:rFonts w:ascii="Times New Roman" w:eastAsia="Times New Roman" w:hAnsi="Times New Roman" w:cs="Times New Roman"/>
          <w:sz w:val="24"/>
          <w:szCs w:val="24"/>
        </w:rPr>
        <w:tab/>
        <w:t>: Alokasi Afirmasi setiap Daerah Kabupaten</w:t>
      </w:r>
    </w:p>
    <w:p w:rsidR="00516588" w:rsidRPr="00516588" w:rsidRDefault="00516588" w:rsidP="00516588">
      <w:pPr>
        <w:ind w:left="720" w:hanging="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AK Kab</w:t>
      </w:r>
      <w:r w:rsidRPr="00516588">
        <w:rPr>
          <w:rFonts w:ascii="Times New Roman" w:eastAsia="Times New Roman" w:hAnsi="Times New Roman" w:cs="Times New Roman"/>
          <w:sz w:val="24"/>
          <w:szCs w:val="24"/>
        </w:rPr>
        <w:tab/>
        <w:t>: Alokasi Kinerja setiap Daerah Kabupaten</w:t>
      </w:r>
    </w:p>
    <w:p w:rsidR="00516588" w:rsidRPr="00516588" w:rsidRDefault="00516588" w:rsidP="00516588">
      <w:pPr>
        <w:ind w:left="720" w:hanging="720"/>
        <w:contextualSpacing/>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AF Kab</w:t>
      </w:r>
      <w:r w:rsidRPr="00516588">
        <w:rPr>
          <w:rFonts w:ascii="Times New Roman" w:eastAsia="Times New Roman" w:hAnsi="Times New Roman" w:cs="Times New Roman"/>
          <w:sz w:val="24"/>
          <w:szCs w:val="24"/>
        </w:rPr>
        <w:tab/>
        <w:t>: Alokasi Formula setiap Daerah Kabupaten</w:t>
      </w:r>
    </w:p>
    <w:p w:rsidR="00516588" w:rsidRDefault="00516588" w:rsidP="00BC413C">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Dana Desa dihitung berdasarkan perhitungan bobot variabel sebagai berikut; Luas wilayah Desa (20%), Jumlah Penduduk Desa (30%), Angka Kemiskinan Desa (50%) dan Tingkat Kesulitan Geografis Desa (berdasarkan Indeks Kesulitan Geografis Desa/ IKG dari Kantor BPS Pusat) sebagai pengali/penyesuaian. </w:t>
      </w:r>
      <w:proofErr w:type="gramStart"/>
      <w:r w:rsidRPr="00516588">
        <w:rPr>
          <w:rFonts w:ascii="Times New Roman" w:eastAsia="Times New Roman" w:hAnsi="Times New Roman" w:cs="Times New Roman"/>
          <w:sz w:val="24"/>
          <w:szCs w:val="24"/>
        </w:rPr>
        <w:t>Formula ini digunakan untuk menghindari terjadinya ketimpangan antar desa, baik dalam satu kabupaten maupun antar kabupaten atau provinsi.</w:t>
      </w:r>
      <w:proofErr w:type="gramEnd"/>
      <w:r w:rsidRPr="00516588">
        <w:rPr>
          <w:rFonts w:ascii="Times New Roman" w:eastAsia="Times New Roman" w:hAnsi="Times New Roman" w:cs="Times New Roman"/>
          <w:sz w:val="24"/>
          <w:szCs w:val="24"/>
        </w:rPr>
        <w:t xml:space="preserve"> Tentu saja bahwa formula ini akan menghasilkan pembagian DD setiap desa berbeda jumlah yang didapatkan</w:t>
      </w:r>
      <w:proofErr w:type="gramStart"/>
      <w:r w:rsidRPr="00516588">
        <w:rPr>
          <w:rFonts w:ascii="Times New Roman" w:eastAsia="Times New Roman" w:hAnsi="Times New Roman" w:cs="Times New Roman"/>
          <w:sz w:val="24"/>
          <w:szCs w:val="24"/>
        </w:rPr>
        <w:t>,karena</w:t>
      </w:r>
      <w:proofErr w:type="gramEnd"/>
      <w:r w:rsidRPr="00516588">
        <w:rPr>
          <w:rFonts w:ascii="Times New Roman" w:eastAsia="Times New Roman" w:hAnsi="Times New Roman" w:cs="Times New Roman"/>
          <w:sz w:val="24"/>
          <w:szCs w:val="24"/>
        </w:rPr>
        <w:t xml:space="preserve"> masing-masing desa memiliki bobot yang berbeda dan jenis kebutuhannya.</w:t>
      </w:r>
    </w:p>
    <w:p w:rsidR="00BC413C" w:rsidRPr="00516588" w:rsidRDefault="00BC413C" w:rsidP="00BC413C">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Teori Kemiskinan</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Dalam mengemukakan teorinya tentang lingkaran setan kemiskinan, pada hakikatnya Nurkse berpendapat bahwa kemiskinan bukan hanya disebabkan oleh tidak adanya pembangunan pada masa itu, tetapi kemiskinan juga dapat menjadi faktor penghambat dalam pembangunan di masa yang </w:t>
      </w:r>
      <w:proofErr w:type="gramStart"/>
      <w:r w:rsidRPr="00516588">
        <w:rPr>
          <w:rFonts w:ascii="Times New Roman" w:eastAsia="Times New Roman" w:hAnsi="Times New Roman" w:cs="Times New Roman"/>
          <w:sz w:val="24"/>
          <w:szCs w:val="24"/>
        </w:rPr>
        <w:t>akan</w:t>
      </w:r>
      <w:proofErr w:type="gramEnd"/>
      <w:r w:rsidRPr="00516588">
        <w:rPr>
          <w:rFonts w:ascii="Times New Roman" w:eastAsia="Times New Roman" w:hAnsi="Times New Roman" w:cs="Times New Roman"/>
          <w:sz w:val="24"/>
          <w:szCs w:val="24"/>
        </w:rPr>
        <w:t xml:space="preserve"> datang. Sehubungan dengan hal ini Nurkse </w:t>
      </w:r>
      <w:proofErr w:type="gramStart"/>
      <w:r w:rsidRPr="00516588">
        <w:rPr>
          <w:rFonts w:ascii="Times New Roman" w:eastAsia="Times New Roman" w:hAnsi="Times New Roman" w:cs="Times New Roman"/>
          <w:sz w:val="24"/>
          <w:szCs w:val="24"/>
        </w:rPr>
        <w:t>mengatakan :</w:t>
      </w:r>
      <w:proofErr w:type="gramEnd"/>
      <w:r w:rsidRPr="00516588">
        <w:rPr>
          <w:rFonts w:ascii="Times New Roman" w:eastAsia="Times New Roman" w:hAnsi="Times New Roman" w:cs="Times New Roman"/>
          <w:sz w:val="24"/>
          <w:szCs w:val="24"/>
        </w:rPr>
        <w:t xml:space="preserve"> “suatu Negara menjadi miskin karena ia merupakan Negara miskin” (</w:t>
      </w:r>
      <w:r w:rsidRPr="00516588">
        <w:rPr>
          <w:rFonts w:ascii="Times New Roman" w:eastAsia="Times New Roman" w:hAnsi="Times New Roman" w:cs="Times New Roman"/>
          <w:i/>
          <w:sz w:val="24"/>
          <w:szCs w:val="24"/>
        </w:rPr>
        <w:t>A country is poor because is poor</w:t>
      </w:r>
      <w:r w:rsidRPr="00516588">
        <w:rPr>
          <w:rFonts w:ascii="Times New Roman" w:eastAsia="Times New Roman" w:hAnsi="Times New Roman" w:cs="Times New Roman"/>
          <w:sz w:val="24"/>
          <w:szCs w:val="24"/>
        </w:rPr>
        <w:t xml:space="preserve">). Salah satu faktor sebagai penyebab timbulnya lingkaran setan kemiskinan adalah adanya hambatan yang sangat kuat dalam proses pembentukan modal (Arsyad, 2015). Pada satu sisi, pembentukan modal ditentukan oleh tingkat tabungan, dan pada satu sisi lain pembentukan modal dipengaruhi oleh ada tidaknya faktor pendorong investasi. </w:t>
      </w:r>
      <w:proofErr w:type="gramStart"/>
      <w:r w:rsidRPr="00516588">
        <w:rPr>
          <w:rFonts w:ascii="Times New Roman" w:eastAsia="Times New Roman" w:hAnsi="Times New Roman" w:cs="Times New Roman"/>
          <w:sz w:val="24"/>
          <w:szCs w:val="24"/>
        </w:rPr>
        <w:t>Di Negara berkembang kedua faktor tersebut tidak memungkinkan untuk terjadinya tingkat pembentukan modal yang tinggi.</w:t>
      </w:r>
      <w:proofErr w:type="gramEnd"/>
      <w:r w:rsidRPr="00516588">
        <w:rPr>
          <w:rFonts w:ascii="Times New Roman" w:eastAsia="Times New Roman" w:hAnsi="Times New Roman" w:cs="Times New Roman"/>
          <w:sz w:val="24"/>
          <w:szCs w:val="24"/>
        </w:rPr>
        <w:t xml:space="preserve"> </w:t>
      </w:r>
    </w:p>
    <w:p w:rsidR="00516588" w:rsidRPr="00516588" w:rsidRDefault="00516588" w:rsidP="00516588">
      <w:pPr>
        <w:spacing w:after="0" w:line="240" w:lineRule="auto"/>
        <w:jc w:val="both"/>
        <w:rPr>
          <w:rFonts w:ascii="Times New Roman" w:eastAsia="Times New Roman" w:hAnsi="Times New Roman" w:cs="Times New Roman"/>
          <w:b/>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lastRenderedPageBreak/>
        <w:t>METODE PENELITIAN</w:t>
      </w: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Definisi Operasional Variabel</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Definisi operasional merupakan penjelasan dari seluruh variabel yang digunakan dalam penelitian ini dengan tujuan agar tidak terjadi kesalahpahaman bagi pembaca dalam mengartikan makna penelitian.</w:t>
      </w:r>
      <w:proofErr w:type="gramEnd"/>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sz w:val="24"/>
          <w:szCs w:val="24"/>
        </w:rPr>
        <w:t>Variabel terikat yang digunakan dalam penelitian ini adalah jumlah masyarakat miskin disetiap desa di Kabupaten Pemalang tahun 2019-2020.</w:t>
      </w:r>
      <w:proofErr w:type="gramEnd"/>
      <w:r w:rsidRPr="00516588">
        <w:rPr>
          <w:rFonts w:ascii="Times New Roman" w:eastAsia="Times New Roman" w:hAnsi="Times New Roman" w:cs="Times New Roman"/>
          <w:sz w:val="24"/>
          <w:szCs w:val="24"/>
        </w:rPr>
        <w:t xml:space="preserve">  Penelitian ini menggunakan dua variabel bebas yakni realisasi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di bidang pembangunan desa dan realisasi dana desa di bidang pemberdayaan masyarakat desa. realisasi dana desa di bidang pembangunan desa adalah pengeluaran pemerintah desa di bidang pembangunan desa selama periode tahun 2019-2020 yang bersumber dari Pagu Dana Desa masing-masing desa di Kabupaten Pemalang yang digunakan untuk membiayai beberapa sub bidang kegiatan di Bidang Pembangunan Desa seperti sub bidang pendidikan, sub bidang kesehatan, sub bidang PU dan Penataan Ruang, sub bidang kawasan dan pemukiman serta sub bidang hubkominfo. Sedangkan realisasi dana desa di bidang pemberdayaan masyarakat desa adalah pengeluaran pemerintah desa di bidang pemberdayaan masyarakat desa selama periode tahun 2019-2020 yang bersumber dari Pagu Dana Desa masing – masing desa di Kabupaten Pemalang yang digunakan untuk membiayai beberapa sub bidang kegiatan di Bidang Pemberdayaan Masyarakat Desa seperti sub bidang pertanian dan peternakan, sub bidang peningkatan kapasitas aparatur desa, sub bidang PPPA dan keluarga dan sub bidang dukungan penanaman modal.</w:t>
      </w:r>
    </w:p>
    <w:p w:rsidR="00516588" w:rsidRPr="00516588" w:rsidRDefault="00516588" w:rsidP="00516588">
      <w:pPr>
        <w:spacing w:after="0" w:line="240" w:lineRule="auto"/>
        <w:jc w:val="both"/>
        <w:rPr>
          <w:rFonts w:ascii="Times New Roman" w:eastAsia="Times New Roman" w:hAnsi="Times New Roman" w:cs="Times New Roman"/>
          <w:b/>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Jenis dan Sumber Data</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Jenis data yang digunakan dalam penelitian ini adalah data sekunder.</w:t>
      </w:r>
      <w:proofErr w:type="gramEnd"/>
      <w:r w:rsidRPr="00516588">
        <w:rPr>
          <w:rFonts w:ascii="Times New Roman" w:eastAsia="Times New Roman" w:hAnsi="Times New Roman" w:cs="Times New Roman"/>
          <w:sz w:val="24"/>
          <w:szCs w:val="24"/>
        </w:rPr>
        <w:t xml:space="preserve"> Data yang digunakan adalah data panel yang merupakan gabungan antara data runtut waktu dari periode 2019 hingga 2020 dan data silang yang meliputi 203 desa di Kabupaten Pemalang. </w:t>
      </w:r>
      <w:proofErr w:type="gramStart"/>
      <w:r w:rsidRPr="00516588">
        <w:rPr>
          <w:rFonts w:ascii="Times New Roman" w:eastAsia="Times New Roman" w:hAnsi="Times New Roman" w:cs="Times New Roman"/>
          <w:sz w:val="24"/>
          <w:szCs w:val="24"/>
        </w:rPr>
        <w:t>Semua data yang digunakan diperoleh melalui publikasi Pemerintah Kabupaten Pemalang.</w:t>
      </w:r>
      <w:proofErr w:type="gramEnd"/>
      <w:r w:rsidRPr="00516588">
        <w:rPr>
          <w:rFonts w:ascii="Times New Roman" w:eastAsia="Times New Roman" w:hAnsi="Times New Roman" w:cs="Times New Roman"/>
          <w:sz w:val="24"/>
          <w:szCs w:val="24"/>
        </w:rPr>
        <w:t xml:space="preserve"> </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Metode Analisis</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Analisis regresi dalam penelitian ini menggunakan metode Fixed Effect untuk mengetahui pengaruh realisasi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di bidang pembangunan desa dan bidang pemberdayaan masyarakat desa terhadap pengentasan kemiskinan desa. Model dasar penelitian ini adalah:</w:t>
      </w:r>
    </w:p>
    <w:p w:rsidR="00516588" w:rsidRPr="00516588" w:rsidRDefault="00516588" w:rsidP="00516588">
      <w:pPr>
        <w:spacing w:after="0" w:line="360" w:lineRule="auto"/>
        <w:jc w:val="center"/>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Y</w:t>
      </w:r>
      <w:r w:rsidRPr="00516588">
        <w:rPr>
          <w:rFonts w:ascii="Times New Roman" w:eastAsia="Times New Roman" w:hAnsi="Times New Roman" w:cs="Times New Roman"/>
          <w:i/>
          <w:sz w:val="16"/>
          <w:szCs w:val="24"/>
        </w:rPr>
        <w:t>kmn</w:t>
      </w:r>
      <w:r w:rsidRPr="00516588">
        <w:rPr>
          <w:rFonts w:ascii="Times New Roman" w:eastAsia="Times New Roman" w:hAnsi="Times New Roman" w:cs="Times New Roman"/>
          <w:i/>
          <w:sz w:val="24"/>
          <w:szCs w:val="24"/>
        </w:rPr>
        <w:t xml:space="preserve"> =</w:t>
      </w:r>
      <w:r w:rsidRPr="00516588">
        <w:rPr>
          <w:rFonts w:ascii="Times New Roman" w:eastAsia="Times New Roman" w:hAnsi="Times New Roman" w:cs="Times New Roman"/>
          <w:i/>
          <w:sz w:val="16"/>
          <w:szCs w:val="24"/>
        </w:rPr>
        <w:t xml:space="preserve"> </w:t>
      </w:r>
      <w:r w:rsidRPr="00516588">
        <w:rPr>
          <w:rFonts w:ascii="Times New Roman" w:eastAsia="Times New Roman" w:hAnsi="Times New Roman" w:cs="Times New Roman"/>
          <w:i/>
          <w:sz w:val="24"/>
          <w:szCs w:val="24"/>
        </w:rPr>
        <w:t>f (X</w:t>
      </w:r>
      <w:r w:rsidRPr="00516588">
        <w:rPr>
          <w:rFonts w:ascii="Times New Roman" w:eastAsia="Times New Roman" w:hAnsi="Times New Roman" w:cs="Times New Roman"/>
          <w:i/>
          <w:sz w:val="16"/>
          <w:szCs w:val="24"/>
        </w:rPr>
        <w:t>RPB</w:t>
      </w:r>
      <w:r w:rsidRPr="00516588">
        <w:rPr>
          <w:rFonts w:ascii="Times New Roman" w:eastAsia="Times New Roman" w:hAnsi="Times New Roman" w:cs="Times New Roman"/>
          <w:i/>
          <w:sz w:val="24"/>
          <w:szCs w:val="24"/>
        </w:rPr>
        <w:t>, X</w:t>
      </w:r>
      <w:r w:rsidRPr="00516588">
        <w:rPr>
          <w:rFonts w:ascii="Times New Roman" w:eastAsia="Times New Roman" w:hAnsi="Times New Roman" w:cs="Times New Roman"/>
          <w:i/>
          <w:sz w:val="16"/>
          <w:szCs w:val="24"/>
        </w:rPr>
        <w:t>RPM,</w:t>
      </w:r>
      <w:r w:rsidRPr="00516588">
        <w:rPr>
          <w:rFonts w:ascii="Times New Roman" w:eastAsia="Times New Roman" w:hAnsi="Times New Roman" w:cs="Times New Roman"/>
          <w:i/>
          <w:sz w:val="24"/>
          <w:szCs w:val="24"/>
        </w:rPr>
        <w:t>)</w:t>
      </w:r>
    </w:p>
    <w:p w:rsidR="00516588" w:rsidRPr="00516588" w:rsidRDefault="00516588" w:rsidP="00516588">
      <w:pPr>
        <w:spacing w:after="0" w:line="240" w:lineRule="auto"/>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Ykmn = Proporsi jumlah penduduk miskin setiap desa di Kabupaten Pemalang (Jiwa)</w:t>
      </w:r>
    </w:p>
    <w:p w:rsidR="00516588" w:rsidRPr="00516588" w:rsidRDefault="00516588" w:rsidP="00516588">
      <w:pPr>
        <w:spacing w:after="0" w:line="240" w:lineRule="auto"/>
        <w:ind w:left="900" w:hanging="90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XRPB =Realisasi dana desa di bidang pembangunan desa di </w:t>
      </w:r>
      <w:proofErr w:type="gramStart"/>
      <w:r w:rsidRPr="00516588">
        <w:rPr>
          <w:rFonts w:ascii="Times New Roman" w:eastAsia="Times New Roman" w:hAnsi="Times New Roman" w:cs="Times New Roman"/>
          <w:sz w:val="24"/>
          <w:szCs w:val="24"/>
        </w:rPr>
        <w:t>setiap  desa</w:t>
      </w:r>
      <w:proofErr w:type="gramEnd"/>
      <w:r w:rsidRPr="00516588">
        <w:rPr>
          <w:rFonts w:ascii="Times New Roman" w:eastAsia="Times New Roman" w:hAnsi="Times New Roman" w:cs="Times New Roman"/>
          <w:sz w:val="24"/>
          <w:szCs w:val="24"/>
        </w:rPr>
        <w:t xml:space="preserve"> di Kabupaten Pemalang (Rupiah)</w:t>
      </w:r>
    </w:p>
    <w:p w:rsidR="00516588" w:rsidRPr="00516588" w:rsidRDefault="00516588" w:rsidP="00516588">
      <w:pPr>
        <w:spacing w:after="0" w:line="240" w:lineRule="auto"/>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XRPM = Realisasi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di bidang pemberdayaan masyarakat desa (Rupiah)</w:t>
      </w:r>
    </w:p>
    <w:p w:rsidR="00516588" w:rsidRPr="00516588" w:rsidRDefault="00516588" w:rsidP="00516588">
      <w:pPr>
        <w:spacing w:after="0" w:line="240" w:lineRule="auto"/>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Model </w:t>
      </w:r>
      <w:proofErr w:type="gramStart"/>
      <w:r w:rsidRPr="00516588">
        <w:rPr>
          <w:rFonts w:ascii="Times New Roman" w:eastAsia="Times New Roman" w:hAnsi="Times New Roman" w:cs="Times New Roman"/>
          <w:sz w:val="24"/>
          <w:szCs w:val="24"/>
        </w:rPr>
        <w:t>dasar  diturunkan</w:t>
      </w:r>
      <w:proofErr w:type="gramEnd"/>
      <w:r w:rsidRPr="00516588">
        <w:rPr>
          <w:rFonts w:ascii="Times New Roman" w:eastAsia="Times New Roman" w:hAnsi="Times New Roman" w:cs="Times New Roman"/>
          <w:sz w:val="24"/>
          <w:szCs w:val="24"/>
        </w:rPr>
        <w:t xml:space="preserve"> menjadi model ekonometrika sebagai berikut :</w:t>
      </w:r>
    </w:p>
    <w:p w:rsidR="00516588" w:rsidRPr="00516588" w:rsidRDefault="00516588" w:rsidP="00516588">
      <w:pPr>
        <w:spacing w:after="0" w:line="240" w:lineRule="auto"/>
        <w:jc w:val="both"/>
        <w:rPr>
          <w:rFonts w:ascii="Times New Roman" w:eastAsia="Times New Roman" w:hAnsi="Times New Roman" w:cs="Times New Roman"/>
          <w:sz w:val="24"/>
          <w:szCs w:val="24"/>
        </w:rPr>
      </w:pPr>
    </w:p>
    <w:p w:rsidR="00516588" w:rsidRPr="00516588" w:rsidRDefault="00516588" w:rsidP="00516588">
      <w:pPr>
        <w:spacing w:after="0" w:line="360" w:lineRule="auto"/>
        <w:jc w:val="center"/>
        <w:rPr>
          <w:rFonts w:ascii="Times New Roman" w:eastAsia="Times New Roman" w:hAnsi="Times New Roman" w:cs="Times New Roman"/>
          <w:i/>
          <w:sz w:val="24"/>
          <w:szCs w:val="24"/>
        </w:rPr>
      </w:pPr>
      <w:r w:rsidRPr="00516588">
        <w:rPr>
          <w:rFonts w:ascii="Times New Roman" w:eastAsia="Times New Roman" w:hAnsi="Times New Roman" w:cs="Times New Roman"/>
          <w:i/>
          <w:sz w:val="24"/>
          <w:szCs w:val="24"/>
        </w:rPr>
        <w:t>Y</w:t>
      </w:r>
      <w:r w:rsidRPr="00516588">
        <w:rPr>
          <w:rFonts w:ascii="Times New Roman" w:eastAsia="Times New Roman" w:hAnsi="Times New Roman" w:cs="Times New Roman"/>
          <w:i/>
          <w:sz w:val="16"/>
          <w:szCs w:val="24"/>
        </w:rPr>
        <w:t>kmn</w:t>
      </w:r>
      <w:r w:rsidRPr="00516588">
        <w:rPr>
          <w:rFonts w:ascii="Times New Roman" w:eastAsia="Times New Roman" w:hAnsi="Times New Roman" w:cs="Times New Roman"/>
          <w:i/>
          <w:sz w:val="24"/>
          <w:szCs w:val="24"/>
        </w:rPr>
        <w:t xml:space="preserve"> = </w:t>
      </w:r>
      <w:proofErr w:type="gramStart"/>
      <w:r w:rsidRPr="00516588">
        <w:rPr>
          <w:rFonts w:ascii="Times New Roman" w:eastAsia="Times New Roman" w:hAnsi="Times New Roman" w:cs="Times New Roman"/>
          <w:i/>
          <w:sz w:val="24"/>
          <w:szCs w:val="24"/>
        </w:rPr>
        <w:t>β₀  +</w:t>
      </w:r>
      <w:proofErr w:type="gramEnd"/>
      <w:r w:rsidRPr="00516588">
        <w:rPr>
          <w:rFonts w:ascii="Times New Roman" w:eastAsia="Times New Roman" w:hAnsi="Times New Roman" w:cs="Times New Roman"/>
          <w:i/>
          <w:sz w:val="24"/>
          <w:szCs w:val="24"/>
        </w:rPr>
        <w:t xml:space="preserve"> + β</w:t>
      </w:r>
      <w:r w:rsidRPr="00516588">
        <w:rPr>
          <w:rFonts w:ascii="Times New Roman" w:eastAsia="Times New Roman" w:hAnsi="Times New Roman" w:cs="Times New Roman"/>
          <w:i/>
          <w:sz w:val="16"/>
          <w:szCs w:val="24"/>
        </w:rPr>
        <w:t>1</w:t>
      </w:r>
      <w:r w:rsidRPr="00516588">
        <w:rPr>
          <w:rFonts w:ascii="Times New Roman" w:eastAsia="Times New Roman" w:hAnsi="Times New Roman" w:cs="Times New Roman"/>
          <w:i/>
          <w:sz w:val="24"/>
          <w:szCs w:val="24"/>
        </w:rPr>
        <w:t xml:space="preserve"> X</w:t>
      </w:r>
      <w:r w:rsidRPr="00516588">
        <w:rPr>
          <w:rFonts w:ascii="Times New Roman" w:eastAsia="Times New Roman" w:hAnsi="Times New Roman" w:cs="Times New Roman"/>
          <w:i/>
          <w:sz w:val="16"/>
          <w:szCs w:val="24"/>
        </w:rPr>
        <w:t>RPB</w:t>
      </w:r>
      <w:r w:rsidRPr="00516588">
        <w:rPr>
          <w:rFonts w:ascii="Times New Roman" w:eastAsia="Times New Roman" w:hAnsi="Times New Roman" w:cs="Times New Roman"/>
          <w:i/>
          <w:sz w:val="24"/>
          <w:szCs w:val="24"/>
        </w:rPr>
        <w:t xml:space="preserve"> + β</w:t>
      </w:r>
      <w:r w:rsidRPr="00516588">
        <w:rPr>
          <w:rFonts w:ascii="Times New Roman" w:eastAsia="Times New Roman" w:hAnsi="Times New Roman" w:cs="Times New Roman"/>
          <w:i/>
          <w:sz w:val="16"/>
          <w:szCs w:val="24"/>
        </w:rPr>
        <w:t>2</w:t>
      </w:r>
      <w:r w:rsidRPr="00516588">
        <w:rPr>
          <w:rFonts w:ascii="Times New Roman" w:eastAsia="Times New Roman" w:hAnsi="Times New Roman" w:cs="Times New Roman"/>
          <w:i/>
          <w:sz w:val="24"/>
          <w:szCs w:val="24"/>
        </w:rPr>
        <w:t xml:space="preserve"> X</w:t>
      </w:r>
      <w:r w:rsidRPr="00516588">
        <w:rPr>
          <w:rFonts w:ascii="Times New Roman" w:eastAsia="Times New Roman" w:hAnsi="Times New Roman" w:cs="Times New Roman"/>
          <w:i/>
          <w:sz w:val="16"/>
          <w:szCs w:val="24"/>
        </w:rPr>
        <w:t xml:space="preserve">RPM </w:t>
      </w:r>
      <w:r w:rsidRPr="00516588">
        <w:rPr>
          <w:rFonts w:ascii="Times New Roman" w:eastAsia="Times New Roman" w:hAnsi="Times New Roman" w:cs="Times New Roman"/>
          <w:i/>
          <w:sz w:val="24"/>
          <w:szCs w:val="24"/>
        </w:rPr>
        <w:t>+ µt</w:t>
      </w:r>
    </w:p>
    <w:p w:rsidR="00516588" w:rsidRPr="00516588" w:rsidRDefault="00516588" w:rsidP="00516588">
      <w:pPr>
        <w:autoSpaceDE w:val="0"/>
        <w:autoSpaceDN w:val="0"/>
        <w:adjustRightInd w:val="0"/>
        <w:spacing w:after="0" w:line="360" w:lineRule="auto"/>
        <w:jc w:val="both"/>
        <w:rPr>
          <w:rFonts w:ascii="Times New Roman" w:eastAsia="Times New Roman" w:hAnsi="Times New Roman" w:cs="Times New Roman"/>
          <w:color w:val="000000"/>
          <w:sz w:val="24"/>
          <w:szCs w:val="24"/>
        </w:rPr>
      </w:pPr>
      <w:proofErr w:type="gramStart"/>
      <w:r w:rsidRPr="00516588">
        <w:rPr>
          <w:rFonts w:ascii="Times New Roman" w:eastAsia="Times New Roman" w:hAnsi="Times New Roman" w:cs="Times New Roman"/>
          <w:color w:val="000000"/>
          <w:sz w:val="24"/>
          <w:szCs w:val="24"/>
        </w:rPr>
        <w:t>Dimana :</w:t>
      </w:r>
      <w:proofErr w:type="gramEnd"/>
      <w:r w:rsidRPr="00516588">
        <w:rPr>
          <w:rFonts w:ascii="Times New Roman" w:eastAsia="Times New Roman" w:hAnsi="Times New Roman" w:cs="Times New Roman"/>
          <w:color w:val="000000"/>
          <w:sz w:val="24"/>
          <w:szCs w:val="24"/>
        </w:rPr>
        <w:t xml:space="preserve"> </w:t>
      </w:r>
    </w:p>
    <w:p w:rsidR="00516588" w:rsidRPr="00516588" w:rsidRDefault="00516588" w:rsidP="0051658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16588">
        <w:rPr>
          <w:rFonts w:ascii="Times New Roman" w:eastAsia="Times New Roman" w:hAnsi="Times New Roman" w:cs="Times New Roman"/>
          <w:color w:val="000000"/>
          <w:sz w:val="24"/>
          <w:szCs w:val="24"/>
        </w:rPr>
        <w:t xml:space="preserve">β₀, </w:t>
      </w:r>
      <w:r w:rsidRPr="00516588">
        <w:rPr>
          <w:rFonts w:ascii="Times New Roman" w:eastAsia="Times New Roman" w:hAnsi="Times New Roman" w:cs="Times New Roman"/>
          <w:sz w:val="24"/>
          <w:szCs w:val="24"/>
        </w:rPr>
        <w:t>β1</w:t>
      </w:r>
      <w:proofErr w:type="gramStart"/>
      <w:r w:rsidRPr="00516588">
        <w:rPr>
          <w:rFonts w:ascii="Times New Roman" w:eastAsia="Times New Roman" w:hAnsi="Times New Roman" w:cs="Times New Roman"/>
          <w:color w:val="000000"/>
          <w:sz w:val="24"/>
          <w:szCs w:val="24"/>
        </w:rPr>
        <w:t>, ...,</w:t>
      </w:r>
      <w:proofErr w:type="gramEnd"/>
      <w:r w:rsidRPr="00516588">
        <w:rPr>
          <w:rFonts w:ascii="Times New Roman" w:eastAsia="Times New Roman" w:hAnsi="Times New Roman" w:cs="Times New Roman"/>
          <w:color w:val="000000"/>
          <w:sz w:val="24"/>
          <w:szCs w:val="24"/>
        </w:rPr>
        <w:t xml:space="preserve"> n merupakan parameter estimasi </w:t>
      </w:r>
    </w:p>
    <w:p w:rsidR="00516588" w:rsidRPr="00516588" w:rsidRDefault="00516588" w:rsidP="00516588">
      <w:pPr>
        <w:spacing w:after="0" w:line="240" w:lineRule="auto"/>
        <w:jc w:val="both"/>
        <w:rPr>
          <w:rFonts w:ascii="Times New Roman" w:eastAsia="Times New Roman" w:hAnsi="Times New Roman" w:cs="Times New Roman"/>
          <w:color w:val="000000"/>
          <w:sz w:val="24"/>
          <w:szCs w:val="24"/>
        </w:rPr>
      </w:pPr>
      <w:proofErr w:type="gramStart"/>
      <w:r w:rsidRPr="00516588">
        <w:rPr>
          <w:rFonts w:ascii="Times New Roman" w:eastAsia="Times New Roman" w:hAnsi="Times New Roman" w:cs="Times New Roman"/>
          <w:i/>
          <w:sz w:val="24"/>
          <w:szCs w:val="24"/>
        </w:rPr>
        <w:t>µt</w:t>
      </w:r>
      <w:r w:rsidRPr="00516588">
        <w:rPr>
          <w:rFonts w:ascii="Times New Roman" w:eastAsia="Times New Roman" w:hAnsi="Times New Roman" w:cs="Times New Roman"/>
          <w:color w:val="000000"/>
          <w:sz w:val="24"/>
          <w:szCs w:val="24"/>
        </w:rPr>
        <w:t xml:space="preserve"> merupakan Error term (variabel yang tidak terkorelasi).</w:t>
      </w:r>
      <w:proofErr w:type="gramEnd"/>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Dalam model ini terdiri dari variabel independen (bebas) yang terdiri dari realisasi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di bidang pembangunan desa dan realisasi dana desa di bidang pemberdayaan masyarakat desa. </w:t>
      </w:r>
      <w:proofErr w:type="gramStart"/>
      <w:r w:rsidRPr="00516588">
        <w:rPr>
          <w:rFonts w:ascii="Times New Roman" w:eastAsia="Times New Roman" w:hAnsi="Times New Roman" w:cs="Times New Roman"/>
          <w:sz w:val="24"/>
          <w:szCs w:val="24"/>
        </w:rPr>
        <w:t>Sedangkan sebagai variabel dependen adalah tingkat kemiskinan di setiap desa di Kabupaten Pemalang.</w:t>
      </w:r>
      <w:proofErr w:type="gramEnd"/>
    </w:p>
    <w:p w:rsidR="00516588" w:rsidRDefault="00516588" w:rsidP="00516588">
      <w:pPr>
        <w:spacing w:after="0" w:line="240" w:lineRule="auto"/>
        <w:ind w:firstLine="720"/>
        <w:jc w:val="both"/>
        <w:rPr>
          <w:rFonts w:ascii="Times New Roman" w:eastAsia="Times New Roman" w:hAnsi="Times New Roman" w:cs="Times New Roman"/>
          <w:sz w:val="24"/>
          <w:szCs w:val="24"/>
        </w:rPr>
      </w:pPr>
    </w:p>
    <w:p w:rsidR="00BC413C" w:rsidRPr="00516588" w:rsidRDefault="00BC413C" w:rsidP="00516588">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lastRenderedPageBreak/>
        <w:t>HASIL DAN PEMBAHASAN</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Penelitian ini dilakukan di Kabupaten Pemalang dengan jumlah populasi penelitian sebanyak 211 desa, setelah dilakukan pengambilan sampel menggunakan metode purposive sampling didapatkan sampel penelitian sebanyak 203 desa dengan kriteria yang telah ditentukan. Penelitian ini dilakukan menggunakan metode regresi data panel dengan derajat keyakinan 5% (</w:t>
      </w:r>
      <w:proofErr w:type="gramStart"/>
      <w:r w:rsidRPr="00516588">
        <w:rPr>
          <w:rFonts w:ascii="Times New Roman" w:eastAsia="Times New Roman" w:hAnsi="Times New Roman" w:cs="Times New Roman"/>
          <w:sz w:val="24"/>
          <w:szCs w:val="24"/>
        </w:rPr>
        <w:t>α :</w:t>
      </w:r>
      <w:proofErr w:type="gramEnd"/>
      <w:r w:rsidRPr="00516588">
        <w:rPr>
          <w:rFonts w:ascii="Times New Roman" w:eastAsia="Times New Roman" w:hAnsi="Times New Roman" w:cs="Times New Roman"/>
          <w:sz w:val="24"/>
          <w:szCs w:val="24"/>
        </w:rPr>
        <w:t xml:space="preserve"> 0,05). Sebelum dilakukan uji hipotesis, peneliti melakukan uji normalitas terhadap data dan didapatkan bahwa data memiliki distribusi normal dengan nilai probabilitas P = 0,116 dimana nilai P &gt; 0</w:t>
      </w:r>
      <w:proofErr w:type="gramStart"/>
      <w:r w:rsidRPr="00516588">
        <w:rPr>
          <w:rFonts w:ascii="Times New Roman" w:eastAsia="Times New Roman" w:hAnsi="Times New Roman" w:cs="Times New Roman"/>
          <w:sz w:val="24"/>
          <w:szCs w:val="24"/>
        </w:rPr>
        <w:t>,05</w:t>
      </w:r>
      <w:proofErr w:type="gramEnd"/>
      <w:r w:rsidRPr="00516588">
        <w:rPr>
          <w:rFonts w:ascii="Times New Roman" w:eastAsia="Times New Roman" w:hAnsi="Times New Roman" w:cs="Times New Roman"/>
          <w:sz w:val="24"/>
          <w:szCs w:val="24"/>
        </w:rPr>
        <w:t xml:space="preserve">. </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Tujuan dilakukannya penelitian ini adalah untuk mengetahui hubungan realisasi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di bidang pembangunan desa dan realisasi di bidang pemberdayaan masyarakat desa terhadap kemiskinan masyarakat desa dalam kurun waktu 2019-2020. Hasil perhitungan dengan analisis regresi menunjukkan bahwa realisasi dana desa di bidang pembangunan desa bernilai negatif tetapi tidak berpengaruh secara signifikan terhadap penurunan jumlah penduduk miskin desa dan untuk realisasi dana desa di bidang pemberdayaan masyarakat desa berpengaruh negatif dan signifikan terhadap tingkat kemiskinan desa, sedangkan secara simultan kedua variabel independen yang digunakan dalam penelitian ini tidak berpengaruh signifikan terhadap tingkat kemiskinan desa. Hasil penelitian ini berbeda dengan hasil penelitian yang dilakukan oleh Irma Setianingsih (2012) yang menyatakan jika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untuk pembangunan desa memiliki pengaruh yang signifikan positif terhadap kemiskinan desa yang dilakukan di Kabupaten Melawi.</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r w:rsidRPr="00516588">
        <w:rPr>
          <w:rFonts w:ascii="Times New Roman" w:eastAsia="Times New Roman" w:hAnsi="Times New Roman" w:cs="Times New Roman"/>
          <w:b/>
          <w:sz w:val="24"/>
          <w:szCs w:val="24"/>
        </w:rPr>
        <w:t>KESIMPULAN DAN SARAN</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Berdasarkan hasil dan pembahasan, maka dapat diambil beberapa kesimpulan sebagai berikut berdasarkan hasil penelitian menunjukkan bahwa variabel realisasi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di bidang pembangunan desa tidak berpengaruh signifikan terhadap kemiskinan desa di Kabupaten Pemalang. Hasil ini mengambarkan jika program posyandu, pendidikan untuk anak </w:t>
      </w:r>
      <w:proofErr w:type="gramStart"/>
      <w:r w:rsidRPr="00516588">
        <w:rPr>
          <w:rFonts w:ascii="Times New Roman" w:eastAsia="Times New Roman" w:hAnsi="Times New Roman" w:cs="Times New Roman"/>
          <w:sz w:val="24"/>
          <w:szCs w:val="24"/>
        </w:rPr>
        <w:t>usia</w:t>
      </w:r>
      <w:proofErr w:type="gramEnd"/>
      <w:r w:rsidRPr="00516588">
        <w:rPr>
          <w:rFonts w:ascii="Times New Roman" w:eastAsia="Times New Roman" w:hAnsi="Times New Roman" w:cs="Times New Roman"/>
          <w:sz w:val="24"/>
          <w:szCs w:val="24"/>
        </w:rPr>
        <w:t xml:space="preserve"> dini serta program pembangunan desa lainnya belum memberikan pengaruh yang signifikan terhadap kemiskinan desa. Variabel realisasi dana desa di bidang pemberdayaan masyarakat desa menunjukkan pengaruh yang signifikan negatif dengan nilai koefisien sebesar -0</w:t>
      </w:r>
      <w:proofErr w:type="gramStart"/>
      <w:r w:rsidRPr="00516588">
        <w:rPr>
          <w:rFonts w:ascii="Times New Roman" w:eastAsia="Times New Roman" w:hAnsi="Times New Roman" w:cs="Times New Roman"/>
          <w:sz w:val="24"/>
          <w:szCs w:val="24"/>
        </w:rPr>
        <w:t>,358970</w:t>
      </w:r>
      <w:proofErr w:type="gramEnd"/>
      <w:r w:rsidRPr="00516588">
        <w:rPr>
          <w:rFonts w:ascii="Times New Roman" w:eastAsia="Times New Roman" w:hAnsi="Times New Roman" w:cs="Times New Roman"/>
          <w:sz w:val="24"/>
          <w:szCs w:val="24"/>
        </w:rPr>
        <w:t xml:space="preserve"> dengan probabilitas 0,0000 yang artinya peningkatan 1 juta  realisasi dana desa dalam bidang pemberdayaan masyarakat desa mampu mengurangi jumlah penduduk miskin desa sebesar 36 jiwa. Hasil ini menggambarkan jika Pemerintah Kabupaten Pemalang melalui program pemberdayaan masyarakat mampu untuk menurunkan tingkat kemiskinan desa di Kabupaten Pemalang pada tahun 2019-2020.</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Berdasarkan hasil pembahasan dan kesimpulan diatas, maka dapat diberikan saran sebagai berikut Realisasi dana desa di bidang pemberdayaan masyarakat menunjukan hasil signifikan negatif terhadap kemiskinan desa sehingga pemerintah desa dapat menggunakan dana desa semaksimal mungkin dalam meningkatkan pemberdayaan masyarakat desa yang akhirnya dapat menurunkan jumlah penduduk miskin desa, melalui beberapa kegiatan pemberdayaan masyarakat desa sesuai dengan kewenangan masing-masing desa dan  untuk penelitian selanjutnya sebagai berikut penelitian selanjutnya diharapkan menggunakan variabel realisasi penggunaan dana desa disetiap sub bidang kegiatan, yang mana dapat menggambarkan penggunaan dana desa dalam setiap kegiatan secara jelas sehingga hasil penelitian jauh lebih baik. Penelitian selanjutnya diharapkan mampu untuk memasukkan variabel baru yang termasuk dalam 5 bidang yang dapat dibiayai menggunakan </w:t>
      </w:r>
      <w:proofErr w:type="gramStart"/>
      <w:r w:rsidRPr="00516588">
        <w:rPr>
          <w:rFonts w:ascii="Times New Roman" w:eastAsia="Times New Roman" w:hAnsi="Times New Roman" w:cs="Times New Roman"/>
          <w:sz w:val="24"/>
          <w:szCs w:val="24"/>
        </w:rPr>
        <w:t>dana</w:t>
      </w:r>
      <w:proofErr w:type="gramEnd"/>
      <w:r w:rsidRPr="00516588">
        <w:rPr>
          <w:rFonts w:ascii="Times New Roman" w:eastAsia="Times New Roman" w:hAnsi="Times New Roman" w:cs="Times New Roman"/>
          <w:sz w:val="24"/>
          <w:szCs w:val="24"/>
        </w:rPr>
        <w:t xml:space="preserve"> desa sesuai dengan kewenangan masing-masing desa. </w:t>
      </w:r>
      <w:proofErr w:type="gramStart"/>
      <w:r w:rsidRPr="00516588">
        <w:rPr>
          <w:rFonts w:ascii="Times New Roman" w:eastAsia="Times New Roman" w:hAnsi="Times New Roman" w:cs="Times New Roman"/>
          <w:sz w:val="24"/>
          <w:szCs w:val="24"/>
        </w:rPr>
        <w:t>selain</w:t>
      </w:r>
      <w:proofErr w:type="gramEnd"/>
      <w:r w:rsidRPr="00516588">
        <w:rPr>
          <w:rFonts w:ascii="Times New Roman" w:eastAsia="Times New Roman" w:hAnsi="Times New Roman" w:cs="Times New Roman"/>
          <w:sz w:val="24"/>
          <w:szCs w:val="24"/>
        </w:rPr>
        <w:t xml:space="preserve"> itu penelitian selanjutnya diharapkan menambahkan periode waktu untuk memperoleh hasil studi yang lebih baik.</w:t>
      </w:r>
    </w:p>
    <w:p w:rsidR="00516588" w:rsidRPr="00516588" w:rsidRDefault="00516588" w:rsidP="00516588">
      <w:pPr>
        <w:spacing w:after="0" w:line="240" w:lineRule="auto"/>
        <w:ind w:firstLine="720"/>
        <w:jc w:val="both"/>
        <w:rPr>
          <w:rFonts w:ascii="Times New Roman" w:eastAsia="Times New Roman" w:hAnsi="Times New Roman" w:cs="Times New Roman"/>
          <w:sz w:val="24"/>
          <w:szCs w:val="24"/>
        </w:rPr>
      </w:pPr>
    </w:p>
    <w:p w:rsidR="00BC413C" w:rsidRDefault="00BC413C" w:rsidP="00516588">
      <w:pPr>
        <w:spacing w:after="0" w:line="240" w:lineRule="auto"/>
        <w:jc w:val="both"/>
        <w:rPr>
          <w:rFonts w:ascii="Times New Roman" w:eastAsia="Times New Roman" w:hAnsi="Times New Roman" w:cs="Times New Roman"/>
          <w:b/>
          <w:sz w:val="24"/>
          <w:szCs w:val="24"/>
        </w:rPr>
      </w:pPr>
    </w:p>
    <w:p w:rsidR="00BC413C" w:rsidRDefault="00BC413C" w:rsidP="00516588">
      <w:pPr>
        <w:spacing w:after="0" w:line="240" w:lineRule="auto"/>
        <w:jc w:val="both"/>
        <w:rPr>
          <w:rFonts w:ascii="Times New Roman" w:eastAsia="Times New Roman" w:hAnsi="Times New Roman" w:cs="Times New Roman"/>
          <w:b/>
          <w:sz w:val="24"/>
          <w:szCs w:val="24"/>
        </w:rPr>
      </w:pPr>
    </w:p>
    <w:p w:rsidR="00BC413C" w:rsidRDefault="00BC413C" w:rsidP="00516588">
      <w:pPr>
        <w:spacing w:after="0" w:line="240" w:lineRule="auto"/>
        <w:jc w:val="both"/>
        <w:rPr>
          <w:rFonts w:ascii="Times New Roman" w:eastAsia="Times New Roman" w:hAnsi="Times New Roman" w:cs="Times New Roman"/>
          <w:b/>
          <w:sz w:val="24"/>
          <w:szCs w:val="24"/>
        </w:rPr>
      </w:pPr>
    </w:p>
    <w:p w:rsidR="00516588" w:rsidRPr="00516588" w:rsidRDefault="00516588" w:rsidP="00516588">
      <w:pPr>
        <w:spacing w:after="0" w:line="240" w:lineRule="auto"/>
        <w:jc w:val="both"/>
        <w:rPr>
          <w:rFonts w:ascii="Times New Roman" w:eastAsia="Times New Roman" w:hAnsi="Times New Roman" w:cs="Times New Roman"/>
          <w:b/>
          <w:sz w:val="24"/>
          <w:szCs w:val="24"/>
        </w:rPr>
      </w:pPr>
      <w:bookmarkStart w:id="0" w:name="_GoBack"/>
      <w:bookmarkEnd w:id="0"/>
      <w:r w:rsidRPr="00516588">
        <w:rPr>
          <w:rFonts w:ascii="Times New Roman" w:eastAsia="Times New Roman" w:hAnsi="Times New Roman" w:cs="Times New Roman"/>
          <w:b/>
          <w:sz w:val="24"/>
          <w:szCs w:val="24"/>
        </w:rPr>
        <w:lastRenderedPageBreak/>
        <w:t>DAFTAR PUSTAKA</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Arsyad, Lincolin. </w:t>
      </w:r>
      <w:proofErr w:type="gramStart"/>
      <w:r w:rsidRPr="00516588">
        <w:rPr>
          <w:rFonts w:ascii="Times New Roman" w:eastAsia="Times New Roman" w:hAnsi="Times New Roman" w:cs="Times New Roman"/>
          <w:sz w:val="24"/>
          <w:szCs w:val="24"/>
        </w:rPr>
        <w:t xml:space="preserve">(2015). </w:t>
      </w:r>
      <w:r w:rsidRPr="00516588">
        <w:rPr>
          <w:rFonts w:ascii="Times New Roman" w:eastAsia="Times New Roman" w:hAnsi="Times New Roman" w:cs="Times New Roman"/>
          <w:i/>
          <w:sz w:val="24"/>
          <w:szCs w:val="24"/>
        </w:rPr>
        <w:t>Ekonomi Pembangunan Edisi Kelima</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Yogyakarta: UPP STIM YKPN.</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Atmaja HK, M. K. (2015). </w:t>
      </w:r>
      <w:proofErr w:type="gramStart"/>
      <w:r w:rsidRPr="00516588">
        <w:rPr>
          <w:rFonts w:ascii="Times New Roman" w:eastAsia="Times New Roman" w:hAnsi="Times New Roman" w:cs="Times New Roman"/>
          <w:i/>
          <w:sz w:val="24"/>
          <w:szCs w:val="24"/>
        </w:rPr>
        <w:t>Pengaruh Peningkatan Infrastruktur Terhadap Pertumbuhan Ekonomi di Kota Sibolga</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Jurnal Ekonomi Dan Keuangan, 3(4).</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Badan Pusat Statistik Kabupaten Pemalang. </w:t>
      </w:r>
      <w:proofErr w:type="gramStart"/>
      <w:r w:rsidRPr="00516588">
        <w:rPr>
          <w:rFonts w:ascii="Times New Roman" w:eastAsia="Times New Roman" w:hAnsi="Times New Roman" w:cs="Times New Roman"/>
          <w:sz w:val="24"/>
          <w:szCs w:val="24"/>
        </w:rPr>
        <w:t xml:space="preserve">(2019). </w:t>
      </w:r>
      <w:r w:rsidRPr="00516588">
        <w:rPr>
          <w:rFonts w:ascii="Times New Roman" w:eastAsia="Times New Roman" w:hAnsi="Times New Roman" w:cs="Times New Roman"/>
          <w:i/>
          <w:sz w:val="24"/>
          <w:szCs w:val="24"/>
        </w:rPr>
        <w:t>Statistik Potensi Desa Kabupaten Pemalang</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w:t>
      </w:r>
      <w:hyperlink r:id="rId9" w:history="1">
        <w:r w:rsidRPr="00516588">
          <w:rPr>
            <w:rFonts w:ascii="Times New Roman" w:eastAsia="Times New Roman" w:hAnsi="Times New Roman" w:cs="Times New Roman"/>
            <w:sz w:val="24"/>
            <w:szCs w:val="24"/>
          </w:rPr>
          <w:t>https://pemalangkab.bps.go.id</w:t>
        </w:r>
      </w:hyperlink>
      <w:r w:rsidRPr="00516588">
        <w:rPr>
          <w:rFonts w:ascii="Times New Roman" w:eastAsia="Times New Roman" w:hAnsi="Times New Roman" w:cs="Times New Roman"/>
          <w:sz w:val="24"/>
          <w:szCs w:val="24"/>
        </w:rPr>
        <w:t>. Diakses tanggal 25 Juli 2021</w:t>
      </w:r>
    </w:p>
    <w:p w:rsidR="00516588" w:rsidRPr="00516588" w:rsidRDefault="00516588" w:rsidP="00516588">
      <w:pPr>
        <w:spacing w:after="0" w:line="240" w:lineRule="auto"/>
        <w:ind w:left="1080" w:hanging="1080"/>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101600</wp:posOffset>
                </wp:positionV>
                <wp:extent cx="589280" cy="635"/>
                <wp:effectExtent l="0" t="0" r="20320"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05pt;margin-top:8pt;width:46.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" strokeweight="1pt"/>
            </w:pict>
          </mc:Fallback>
        </mc:AlternateContent>
      </w:r>
      <w:r w:rsidRPr="00516588">
        <w:rPr>
          <w:rFonts w:ascii="Times New Roman" w:eastAsia="Times New Roman" w:hAnsi="Times New Roman" w:cs="Times New Roman"/>
          <w:sz w:val="24"/>
          <w:szCs w:val="24"/>
        </w:rPr>
        <w:t xml:space="preserve">                  . </w:t>
      </w:r>
      <w:proofErr w:type="gramStart"/>
      <w:r w:rsidRPr="00516588">
        <w:rPr>
          <w:rFonts w:ascii="Times New Roman" w:eastAsia="Times New Roman" w:hAnsi="Times New Roman" w:cs="Times New Roman"/>
          <w:sz w:val="24"/>
          <w:szCs w:val="24"/>
        </w:rPr>
        <w:t xml:space="preserve">(2020). </w:t>
      </w:r>
      <w:r w:rsidRPr="00516588">
        <w:rPr>
          <w:rFonts w:ascii="Times New Roman" w:eastAsia="Times New Roman" w:hAnsi="Times New Roman" w:cs="Times New Roman"/>
          <w:i/>
          <w:sz w:val="24"/>
          <w:szCs w:val="24"/>
        </w:rPr>
        <w:t>Jumlah Penduduk Miskin Menurut Wilayah</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w:t>
      </w:r>
      <w:hyperlink r:id="rId10" w:history="1">
        <w:r w:rsidRPr="00516588">
          <w:rPr>
            <w:rFonts w:ascii="Times New Roman" w:eastAsia="Times New Roman" w:hAnsi="Times New Roman" w:cs="Times New Roman"/>
            <w:sz w:val="24"/>
            <w:szCs w:val="24"/>
          </w:rPr>
          <w:t>https://www.bps.go.id</w:t>
        </w:r>
      </w:hyperlink>
      <w:r w:rsidRPr="00516588">
        <w:rPr>
          <w:rFonts w:ascii="Times New Roman" w:eastAsia="Times New Roman" w:hAnsi="Times New Roman" w:cs="Times New Roman"/>
          <w:sz w:val="24"/>
          <w:szCs w:val="24"/>
        </w:rPr>
        <w:t>. Diakses tanggal 25 Juli 2021</w:t>
      </w:r>
    </w:p>
    <w:p w:rsidR="00516588" w:rsidRPr="00516588" w:rsidRDefault="00516588" w:rsidP="00516588">
      <w:pPr>
        <w:spacing w:after="0" w:line="240" w:lineRule="auto"/>
        <w:ind w:left="1080" w:hanging="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125730</wp:posOffset>
                </wp:positionV>
                <wp:extent cx="589280" cy="635"/>
                <wp:effectExtent l="0" t="0" r="2032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05pt;margin-top:9.9pt;width:46.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" strokeweight="1pt"/>
            </w:pict>
          </mc:Fallback>
        </mc:AlternateContent>
      </w:r>
      <w:r w:rsidRPr="00516588">
        <w:rPr>
          <w:rFonts w:ascii="Times New Roman" w:eastAsia="Times New Roman" w:hAnsi="Times New Roman" w:cs="Times New Roman"/>
          <w:sz w:val="24"/>
          <w:szCs w:val="24"/>
        </w:rPr>
        <w:t xml:space="preserve">                  . (2020). </w:t>
      </w:r>
      <w:r w:rsidRPr="00516588">
        <w:rPr>
          <w:rFonts w:ascii="Times New Roman" w:eastAsia="Times New Roman" w:hAnsi="Times New Roman" w:cs="Times New Roman"/>
          <w:i/>
          <w:sz w:val="24"/>
          <w:szCs w:val="24"/>
        </w:rPr>
        <w:t>Persentase Penduduk Miskin Menurut Wilayah (Persen), 2019-2020</w:t>
      </w:r>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sz w:val="24"/>
          <w:szCs w:val="24"/>
        </w:rPr>
        <w:t xml:space="preserve">In </w:t>
      </w:r>
      <w:hyperlink r:id="rId11" w:history="1">
        <w:proofErr w:type="gramEnd"/>
        <w:r w:rsidRPr="00516588">
          <w:rPr>
            <w:rFonts w:ascii="Times New Roman" w:eastAsia="Times New Roman" w:hAnsi="Times New Roman" w:cs="Times New Roman"/>
            <w:sz w:val="24"/>
            <w:szCs w:val="24"/>
            <w:u w:val="single"/>
          </w:rPr>
          <w:t>Www.Bps.Go.Id</w:t>
        </w:r>
        <w:proofErr w:type="gramStart"/>
      </w:hyperlink>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Diakses tanggal 25 Juli 2021</w:t>
      </w:r>
    </w:p>
    <w:p w:rsidR="00516588" w:rsidRPr="00516588" w:rsidRDefault="00516588" w:rsidP="00516588">
      <w:pPr>
        <w:spacing w:after="0" w:line="240" w:lineRule="auto"/>
        <w:ind w:left="1080" w:hanging="108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Kementerian Keuangan RI. </w:t>
      </w:r>
      <w:proofErr w:type="gramStart"/>
      <w:r w:rsidRPr="00516588">
        <w:rPr>
          <w:rFonts w:ascii="Times New Roman" w:eastAsia="Times New Roman" w:hAnsi="Times New Roman" w:cs="Times New Roman"/>
          <w:sz w:val="24"/>
          <w:szCs w:val="24"/>
        </w:rPr>
        <w:t xml:space="preserve">(2019). </w:t>
      </w:r>
      <w:r w:rsidRPr="00516588">
        <w:rPr>
          <w:rFonts w:ascii="Times New Roman" w:eastAsia="Times New Roman" w:hAnsi="Times New Roman" w:cs="Times New Roman"/>
          <w:i/>
          <w:sz w:val="24"/>
          <w:szCs w:val="24"/>
        </w:rPr>
        <w:t>Buku Pintar Dana Desa (Dana Desa untuk Kesejahteraan Rakyat)</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Jakarta: Direktorat Jenderal Perimbangan Keuangan.</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Litvack, J., Ahmad, J. &amp; Bird, R. (1998).</w:t>
      </w:r>
      <w:proofErr w:type="gramEnd"/>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i/>
          <w:sz w:val="24"/>
          <w:szCs w:val="24"/>
        </w:rPr>
        <w:t>Rethinking Decentralization in Developing Countries.</w:t>
      </w:r>
      <w:proofErr w:type="gramEnd"/>
      <w:r w:rsidRPr="00516588">
        <w:rPr>
          <w:rFonts w:ascii="Times New Roman" w:eastAsia="Times New Roman" w:hAnsi="Times New Roman" w:cs="Times New Roman"/>
          <w:sz w:val="24"/>
          <w:szCs w:val="24"/>
        </w:rPr>
        <w:t xml:space="preserve"> The World Bank, Washington.D.C.</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Ma, J, (1997).</w:t>
      </w:r>
      <w:proofErr w:type="gramEnd"/>
      <w:r w:rsidRPr="00516588">
        <w:rPr>
          <w:rFonts w:ascii="Times New Roman" w:eastAsia="Times New Roman" w:hAnsi="Times New Roman" w:cs="Times New Roman"/>
          <w:sz w:val="24"/>
          <w:szCs w:val="24"/>
        </w:rPr>
        <w:t xml:space="preserve"> </w:t>
      </w:r>
      <w:r w:rsidRPr="00516588">
        <w:rPr>
          <w:rFonts w:ascii="Times New Roman" w:eastAsia="Times New Roman" w:hAnsi="Times New Roman" w:cs="Times New Roman"/>
          <w:i/>
          <w:sz w:val="24"/>
          <w:szCs w:val="24"/>
        </w:rPr>
        <w:t xml:space="preserve">Intergovernmental Fiscal Transfer; </w:t>
      </w:r>
      <w:proofErr w:type="gramStart"/>
      <w:r w:rsidRPr="00516588">
        <w:rPr>
          <w:rFonts w:ascii="Times New Roman" w:eastAsia="Times New Roman" w:hAnsi="Times New Roman" w:cs="Times New Roman"/>
          <w:i/>
          <w:sz w:val="24"/>
          <w:szCs w:val="24"/>
        </w:rPr>
        <w:t>A</w:t>
      </w:r>
      <w:proofErr w:type="gramEnd"/>
      <w:r w:rsidRPr="00516588">
        <w:rPr>
          <w:rFonts w:ascii="Times New Roman" w:eastAsia="Times New Roman" w:hAnsi="Times New Roman" w:cs="Times New Roman"/>
          <w:i/>
          <w:sz w:val="24"/>
          <w:szCs w:val="24"/>
        </w:rPr>
        <w:t xml:space="preserve"> Comparison of Nine Countries (Case of United States, Canada, The United Kingdom, Australia, Germany, Japan, Korea, India and Indonesia)</w:t>
      </w:r>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sz w:val="24"/>
          <w:szCs w:val="24"/>
        </w:rPr>
        <w:t>The World Bank.</w:t>
      </w:r>
      <w:proofErr w:type="gramEnd"/>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Mardiasmo.</w:t>
      </w:r>
      <w:proofErr w:type="gramEnd"/>
      <w:r w:rsidRPr="00516588">
        <w:rPr>
          <w:rFonts w:ascii="Times New Roman" w:eastAsia="Times New Roman" w:hAnsi="Times New Roman" w:cs="Times New Roman"/>
          <w:sz w:val="24"/>
          <w:szCs w:val="24"/>
        </w:rPr>
        <w:t xml:space="preserve"> (2009). </w:t>
      </w:r>
      <w:r w:rsidRPr="00516588">
        <w:rPr>
          <w:rFonts w:ascii="Times New Roman" w:eastAsia="Times New Roman" w:hAnsi="Times New Roman" w:cs="Times New Roman"/>
          <w:i/>
          <w:sz w:val="24"/>
          <w:szCs w:val="24"/>
        </w:rPr>
        <w:t xml:space="preserve">Kebijakan Desentralisasi Fiskal di Era Reformasi: 2005 – 2008. </w:t>
      </w:r>
      <w:proofErr w:type="gramStart"/>
      <w:r w:rsidRPr="00516588">
        <w:rPr>
          <w:rFonts w:ascii="Times New Roman" w:eastAsia="Times New Roman" w:hAnsi="Times New Roman" w:cs="Times New Roman"/>
          <w:sz w:val="24"/>
          <w:szCs w:val="24"/>
        </w:rPr>
        <w:t>dalam</w:t>
      </w:r>
      <w:proofErr w:type="gramEnd"/>
      <w:r w:rsidRPr="00516588">
        <w:rPr>
          <w:rFonts w:ascii="Times New Roman" w:eastAsia="Times New Roman" w:hAnsi="Times New Roman" w:cs="Times New Roman"/>
          <w:sz w:val="24"/>
          <w:szCs w:val="24"/>
        </w:rPr>
        <w:t xml:space="preserve"> Abimanyu dan Megantara, (ed): Era Baru Kebijakan Fiskal, Jakarta, Penerbit Kompas.</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Rosen, H. (2008). </w:t>
      </w:r>
      <w:r w:rsidRPr="00516588">
        <w:rPr>
          <w:rFonts w:ascii="Times New Roman" w:eastAsia="Times New Roman" w:hAnsi="Times New Roman" w:cs="Times New Roman"/>
          <w:i/>
          <w:sz w:val="24"/>
          <w:szCs w:val="24"/>
        </w:rPr>
        <w:t>Public Finance</w:t>
      </w:r>
      <w:r w:rsidRPr="00516588">
        <w:rPr>
          <w:rFonts w:ascii="Times New Roman" w:eastAsia="Times New Roman" w:hAnsi="Times New Roman" w:cs="Times New Roman"/>
          <w:sz w:val="24"/>
          <w:szCs w:val="24"/>
        </w:rPr>
        <w:t>, 5th edition, Illinois, Richard d. Irvin, Inc.</w:t>
      </w:r>
    </w:p>
    <w:p w:rsidR="00516588" w:rsidRPr="00516588" w:rsidRDefault="00516588" w:rsidP="00516588">
      <w:pPr>
        <w:spacing w:after="0" w:line="240" w:lineRule="auto"/>
        <w:ind w:left="1080" w:hanging="1080"/>
        <w:rPr>
          <w:rFonts w:ascii="Times New Roman" w:eastAsia="Times New Roman" w:hAnsi="Times New Roman" w:cs="Times New Roman"/>
          <w:sz w:val="24"/>
          <w:szCs w:val="24"/>
        </w:rPr>
      </w:pPr>
      <w:proofErr w:type="gramStart"/>
      <w:r w:rsidRPr="00516588">
        <w:rPr>
          <w:rFonts w:ascii="Times New Roman" w:eastAsia="Times New Roman" w:hAnsi="Times New Roman" w:cs="Times New Roman"/>
          <w:sz w:val="24"/>
          <w:szCs w:val="24"/>
        </w:rPr>
        <w:t>Shah, A. (1994).</w:t>
      </w:r>
      <w:proofErr w:type="gramEnd"/>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i/>
          <w:sz w:val="24"/>
          <w:szCs w:val="24"/>
        </w:rPr>
        <w:t>The Reform of Intergovernmental Fiscal Relations in Developing and Emerging Market Economics”</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Washington D.C., </w:t>
      </w:r>
      <w:proofErr w:type="gramStart"/>
      <w:r w:rsidRPr="00516588">
        <w:rPr>
          <w:rFonts w:ascii="Times New Roman" w:eastAsia="Times New Roman" w:hAnsi="Times New Roman" w:cs="Times New Roman"/>
          <w:sz w:val="24"/>
          <w:szCs w:val="24"/>
        </w:rPr>
        <w:t>The</w:t>
      </w:r>
      <w:proofErr w:type="gramEnd"/>
      <w:r w:rsidRPr="00516588">
        <w:rPr>
          <w:rFonts w:ascii="Times New Roman" w:eastAsia="Times New Roman" w:hAnsi="Times New Roman" w:cs="Times New Roman"/>
          <w:sz w:val="24"/>
          <w:szCs w:val="24"/>
        </w:rPr>
        <w:t xml:space="preserve"> World Bank.</w:t>
      </w:r>
    </w:p>
    <w:p w:rsidR="00516588" w:rsidRPr="00516588" w:rsidRDefault="00516588" w:rsidP="00516588">
      <w:pPr>
        <w:spacing w:after="0" w:line="240" w:lineRule="auto"/>
        <w:ind w:left="1080" w:hanging="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123825</wp:posOffset>
                </wp:positionV>
                <wp:extent cx="589280" cy="635"/>
                <wp:effectExtent l="0" t="0" r="2032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pt;margin-top:9.75pt;width:46.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" strokeweight="1pt"/>
            </w:pict>
          </mc:Fallback>
        </mc:AlternateContent>
      </w:r>
      <w:r w:rsidRPr="00516588">
        <w:rPr>
          <w:rFonts w:ascii="Times New Roman" w:eastAsia="Times New Roman" w:hAnsi="Times New Roman" w:cs="Times New Roman"/>
          <w:sz w:val="24"/>
          <w:szCs w:val="24"/>
        </w:rPr>
        <w:t xml:space="preserve">                  . </w:t>
      </w:r>
      <w:proofErr w:type="gramStart"/>
      <w:r w:rsidRPr="00516588">
        <w:rPr>
          <w:rFonts w:ascii="Times New Roman" w:eastAsia="Times New Roman" w:hAnsi="Times New Roman" w:cs="Times New Roman"/>
          <w:sz w:val="24"/>
          <w:szCs w:val="24"/>
        </w:rPr>
        <w:t xml:space="preserve">(2006). </w:t>
      </w:r>
      <w:r w:rsidRPr="00516588">
        <w:rPr>
          <w:rFonts w:ascii="Times New Roman" w:eastAsia="Times New Roman" w:hAnsi="Times New Roman" w:cs="Times New Roman"/>
          <w:i/>
          <w:sz w:val="24"/>
          <w:szCs w:val="24"/>
        </w:rPr>
        <w:t>A Practitioner’s Guide to Intergovernmental Fiscal Transfer</w:t>
      </w:r>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World Bank Policy Reasearch Working Paper 4039, October.</w:t>
      </w:r>
    </w:p>
    <w:p w:rsidR="00516588" w:rsidRPr="00516588" w:rsidRDefault="00516588" w:rsidP="00516588">
      <w:pPr>
        <w:spacing w:after="0" w:line="240" w:lineRule="auto"/>
        <w:ind w:left="1080" w:hanging="1080"/>
        <w:jc w:val="both"/>
        <w:rPr>
          <w:rFonts w:ascii="Times New Roman" w:eastAsia="Times New Roman" w:hAnsi="Times New Roman" w:cs="Times New Roman"/>
          <w:sz w:val="24"/>
          <w:szCs w:val="24"/>
        </w:rPr>
      </w:pPr>
      <w:r w:rsidRPr="00516588">
        <w:rPr>
          <w:rFonts w:ascii="Times New Roman" w:eastAsia="Times New Roman" w:hAnsi="Times New Roman" w:cs="Times New Roman"/>
          <w:sz w:val="24"/>
          <w:szCs w:val="24"/>
        </w:rPr>
        <w:t xml:space="preserve">Wibowo, M. E. (2014). </w:t>
      </w:r>
      <w:r w:rsidRPr="00516588">
        <w:rPr>
          <w:rFonts w:ascii="Times New Roman" w:eastAsia="Times New Roman" w:hAnsi="Times New Roman" w:cs="Times New Roman"/>
          <w:i/>
          <w:sz w:val="24"/>
          <w:szCs w:val="24"/>
        </w:rPr>
        <w:t xml:space="preserve">Analisis Pengaruh Pengeluaran Pemerintah di Sektor Pertanian, Pendidikan, Kesehatan dan Infrastruktur terhadap Tingkat Kemiskinan </w:t>
      </w:r>
      <w:proofErr w:type="gramStart"/>
      <w:r w:rsidRPr="00516588">
        <w:rPr>
          <w:rFonts w:ascii="Times New Roman" w:eastAsia="Times New Roman" w:hAnsi="Times New Roman" w:cs="Times New Roman"/>
          <w:i/>
          <w:sz w:val="24"/>
          <w:szCs w:val="24"/>
        </w:rPr>
        <w:t>( Studi</w:t>
      </w:r>
      <w:proofErr w:type="gramEnd"/>
      <w:r w:rsidRPr="00516588">
        <w:rPr>
          <w:rFonts w:ascii="Times New Roman" w:eastAsia="Times New Roman" w:hAnsi="Times New Roman" w:cs="Times New Roman"/>
          <w:i/>
          <w:sz w:val="24"/>
          <w:szCs w:val="24"/>
        </w:rPr>
        <w:t xml:space="preserve"> Kasus Di Kabupaten / Kota Provinsi Jawa Tengah )</w:t>
      </w:r>
      <w:r w:rsidRPr="00516588">
        <w:rPr>
          <w:rFonts w:ascii="Times New Roman" w:eastAsia="Times New Roman" w:hAnsi="Times New Roman" w:cs="Times New Roman"/>
          <w:sz w:val="24"/>
          <w:szCs w:val="24"/>
        </w:rPr>
        <w:t xml:space="preserve"> (Universitas Diponegoro). </w:t>
      </w:r>
      <w:proofErr w:type="gramStart"/>
      <w:r w:rsidRPr="00516588">
        <w:rPr>
          <w:rFonts w:ascii="Times New Roman" w:eastAsia="Times New Roman" w:hAnsi="Times New Roman" w:cs="Times New Roman"/>
          <w:sz w:val="24"/>
          <w:szCs w:val="24"/>
        </w:rPr>
        <w:t xml:space="preserve">Retrieved from </w:t>
      </w:r>
      <w:hyperlink r:id="rId12" w:history="1">
        <w:r w:rsidRPr="00516588">
          <w:rPr>
            <w:rFonts w:ascii="Times New Roman" w:eastAsia="Times New Roman" w:hAnsi="Times New Roman" w:cs="Times New Roman"/>
            <w:sz w:val="24"/>
            <w:szCs w:val="24"/>
          </w:rPr>
          <w:t>http://eprints.undip.ac.id/44748/1/04_WIBOWO.pdf</w:t>
        </w:r>
      </w:hyperlink>
      <w:r w:rsidRPr="00516588">
        <w:rPr>
          <w:rFonts w:ascii="Times New Roman" w:eastAsia="Times New Roman" w:hAnsi="Times New Roman" w:cs="Times New Roman"/>
          <w:sz w:val="24"/>
          <w:szCs w:val="24"/>
        </w:rPr>
        <w:t>.</w:t>
      </w:r>
      <w:proofErr w:type="gramEnd"/>
      <w:r w:rsidRPr="00516588">
        <w:rPr>
          <w:rFonts w:ascii="Times New Roman" w:eastAsia="Times New Roman" w:hAnsi="Times New Roman" w:cs="Times New Roman"/>
          <w:sz w:val="24"/>
          <w:szCs w:val="24"/>
        </w:rPr>
        <w:t xml:space="preserve"> </w:t>
      </w:r>
      <w:proofErr w:type="gramStart"/>
      <w:r w:rsidRPr="00516588">
        <w:rPr>
          <w:rFonts w:ascii="Times New Roman" w:eastAsia="Times New Roman" w:hAnsi="Times New Roman" w:cs="Times New Roman"/>
          <w:sz w:val="24"/>
          <w:szCs w:val="24"/>
        </w:rPr>
        <w:t>Diakses tanggal 15 Maret 2019.</w:t>
      </w:r>
      <w:proofErr w:type="gramEnd"/>
    </w:p>
    <w:p w:rsidR="00516588" w:rsidRPr="00516588" w:rsidRDefault="00516588" w:rsidP="00516588">
      <w:pPr>
        <w:spacing w:after="0" w:line="240" w:lineRule="auto"/>
        <w:jc w:val="both"/>
        <w:rPr>
          <w:rFonts w:ascii="Times New Roman" w:eastAsia="Times New Roman" w:hAnsi="Times New Roman" w:cs="Times New Roman"/>
          <w:sz w:val="24"/>
          <w:szCs w:val="24"/>
          <w:lang w:val="id-ID"/>
        </w:rPr>
      </w:pPr>
    </w:p>
    <w:p w:rsidR="008557FA" w:rsidRDefault="008557FA"/>
    <w:sectPr w:rsidR="008557FA" w:rsidSect="00DF68C3">
      <w:headerReference w:type="default" r:id="rId13"/>
      <w:footerReference w:type="even" r:id="rId14"/>
      <w:footerReference w:type="default" r:id="rId15"/>
      <w:headerReference w:type="first" r:id="rId16"/>
      <w:footerReference w:type="first" r:id="rId17"/>
      <w:type w:val="continuous"/>
      <w:pgSz w:w="11907" w:h="16840" w:code="9"/>
      <w:pgMar w:top="1474" w:right="1418"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65" w:rsidRDefault="00953665" w:rsidP="00702DEC">
      <w:pPr>
        <w:spacing w:after="0" w:line="240" w:lineRule="auto"/>
      </w:pPr>
      <w:r>
        <w:separator/>
      </w:r>
    </w:p>
  </w:endnote>
  <w:endnote w:type="continuationSeparator" w:id="0">
    <w:p w:rsidR="00953665" w:rsidRDefault="00953665" w:rsidP="0070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70" w:rsidRDefault="00953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3B70" w:rsidRDefault="00953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0" w:rsidRDefault="00953665">
    <w:pPr>
      <w:pStyle w:val="Footer"/>
      <w:jc w:val="right"/>
    </w:pPr>
    <w:r>
      <w:fldChar w:fldCharType="begin"/>
    </w:r>
    <w:r>
      <w:instrText xml:space="preserve"> PAGE   \* MERGEFORMAT </w:instrText>
    </w:r>
    <w:r>
      <w:fldChar w:fldCharType="separate"/>
    </w:r>
    <w:r w:rsidR="00BC413C">
      <w:rPr>
        <w:noProof/>
      </w:rPr>
      <w:t>8</w:t>
    </w:r>
    <w:r>
      <w:fldChar w:fldCharType="end"/>
    </w:r>
  </w:p>
  <w:p w:rsidR="007B3B70" w:rsidRDefault="00953665" w:rsidP="006707F9">
    <w:pPr>
      <w:pStyle w:val="Footer"/>
      <w:tabs>
        <w:tab w:val="center" w:pos="4394"/>
        <w:tab w:val="right" w:pos="878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31" w:rsidRDefault="00953665" w:rsidP="00476D31">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65" w:rsidRDefault="00953665" w:rsidP="00702DEC">
      <w:pPr>
        <w:spacing w:after="0" w:line="240" w:lineRule="auto"/>
      </w:pPr>
      <w:r>
        <w:separator/>
      </w:r>
    </w:p>
  </w:footnote>
  <w:footnote w:type="continuationSeparator" w:id="0">
    <w:p w:rsidR="00953665" w:rsidRDefault="00953665" w:rsidP="00702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DEC" w:rsidRDefault="00702DEC" w:rsidP="00702DEC">
    <w:pPr>
      <w:pStyle w:val="Header"/>
      <w:pBdr>
        <w:bottom w:val="single" w:sz="4" w:space="1" w:color="auto"/>
      </w:pBdr>
      <w:rPr>
        <w:b/>
        <w:i/>
        <w:sz w:val="20"/>
      </w:rPr>
    </w:pPr>
    <w:r>
      <w:rPr>
        <w:b/>
        <w:noProof/>
        <w:sz w:val="20"/>
      </w:rPr>
      <w:drawing>
        <wp:anchor distT="0" distB="0" distL="114300" distR="114300" simplePos="0" relativeHeight="251661312" behindDoc="0" locked="0" layoutInCell="1" allowOverlap="1" wp14:anchorId="027FCFEA" wp14:editId="7C57F981">
          <wp:simplePos x="0" y="0"/>
          <wp:positionH relativeFrom="column">
            <wp:posOffset>-596265</wp:posOffset>
          </wp:positionH>
          <wp:positionV relativeFrom="paragraph">
            <wp:posOffset>-201930</wp:posOffset>
          </wp:positionV>
          <wp:extent cx="462915" cy="523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955" t="10487" r="26894" b="11237"/>
                  <a:stretch>
                    <a:fillRect/>
                  </a:stretch>
                </pic:blipFill>
                <pic:spPr bwMode="auto">
                  <a:xfrm>
                    <a:off x="0" y="0"/>
                    <a:ext cx="46291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7F9">
      <w:rPr>
        <w:b/>
        <w:sz w:val="20"/>
      </w:rPr>
      <w:t xml:space="preserve">DIPONEGORO JOURNAL OF </w:t>
    </w:r>
    <w:r>
      <w:rPr>
        <w:b/>
        <w:sz w:val="20"/>
      </w:rPr>
      <w:t>ECONOMICS</w:t>
    </w:r>
    <w:r w:rsidRPr="006707F9">
      <w:rPr>
        <w:b/>
        <w:sz w:val="20"/>
      </w:rPr>
      <w:t xml:space="preserve"> </w:t>
    </w:r>
    <w:r w:rsidRPr="006707F9">
      <w:rPr>
        <w:b/>
        <w:sz w:val="20"/>
      </w:rPr>
      <w:tab/>
    </w:r>
    <w:r w:rsidRPr="006707F9">
      <w:rPr>
        <w:b/>
        <w:sz w:val="20"/>
      </w:rPr>
      <w:tab/>
    </w:r>
    <w:r w:rsidRPr="00DF68C3">
      <w:rPr>
        <w:b/>
        <w:i/>
        <w:sz w:val="20"/>
      </w:rPr>
      <w:t xml:space="preserve">Volume </w:t>
    </w:r>
    <w:r>
      <w:rPr>
        <w:b/>
        <w:i/>
        <w:sz w:val="20"/>
      </w:rPr>
      <w:t>...</w:t>
    </w:r>
    <w:proofErr w:type="gramStart"/>
    <w:r w:rsidRPr="00DF68C3">
      <w:rPr>
        <w:b/>
        <w:i/>
        <w:sz w:val="20"/>
      </w:rPr>
      <w:t>,  Nomor</w:t>
    </w:r>
    <w:proofErr w:type="gramEnd"/>
    <w:r w:rsidRPr="00DF68C3">
      <w:rPr>
        <w:b/>
        <w:i/>
        <w:sz w:val="20"/>
      </w:rPr>
      <w:t xml:space="preserve"> </w:t>
    </w:r>
    <w:r>
      <w:rPr>
        <w:b/>
        <w:i/>
        <w:sz w:val="20"/>
      </w:rPr>
      <w:t>...</w:t>
    </w:r>
    <w:r w:rsidRPr="00DF68C3">
      <w:rPr>
        <w:b/>
        <w:i/>
        <w:sz w:val="20"/>
      </w:rPr>
      <w:t xml:space="preserve">, Tahun 2012, Halaman </w:t>
    </w:r>
    <w:r>
      <w:rPr>
        <w:b/>
        <w:i/>
        <w:sz w:val="20"/>
      </w:rPr>
      <w:t>....</w:t>
    </w:r>
  </w:p>
  <w:p w:rsidR="00702DEC" w:rsidRPr="0012765B" w:rsidRDefault="00702DEC" w:rsidP="00702DEC">
    <w:pPr>
      <w:pStyle w:val="Header"/>
      <w:pBdr>
        <w:bottom w:val="single" w:sz="4" w:space="1" w:color="auto"/>
      </w:pBdr>
      <w:rPr>
        <w:i/>
        <w:sz w:val="20"/>
      </w:rPr>
    </w:pPr>
    <w:r w:rsidRPr="0012765B">
      <w:rPr>
        <w:i/>
        <w:sz w:val="20"/>
      </w:rPr>
      <w:t>http://ejournal-s1.undip.ac.id/index.php/jme</w:t>
    </w:r>
    <w:r>
      <w:rPr>
        <w:i/>
        <w:sz w:val="20"/>
      </w:rPr>
      <w:t xml:space="preserve">                       </w:t>
    </w:r>
    <w:r w:rsidRPr="00660344">
      <w:rPr>
        <w:b/>
        <w:i/>
        <w:sz w:val="20"/>
      </w:rPr>
      <w:t>ISSN</w:t>
    </w:r>
    <w:r>
      <w:rPr>
        <w:b/>
        <w:i/>
        <w:sz w:val="20"/>
      </w:rPr>
      <w:t xml:space="preserve"> (Online)</w:t>
    </w:r>
    <w:r w:rsidRPr="00660344">
      <w:rPr>
        <w:b/>
        <w:i/>
        <w:sz w:val="20"/>
      </w:rPr>
      <w:t>: 2337-3814</w:t>
    </w:r>
  </w:p>
  <w:p w:rsidR="006707F9" w:rsidRPr="00702DEC" w:rsidRDefault="00953665" w:rsidP="00702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C3" w:rsidRDefault="00516588" w:rsidP="00476D31">
    <w:pPr>
      <w:pStyle w:val="Header"/>
      <w:pBdr>
        <w:bottom w:val="single" w:sz="4" w:space="1" w:color="auto"/>
      </w:pBdr>
      <w:rPr>
        <w:b/>
        <w:i/>
        <w:sz w:val="20"/>
      </w:rPr>
    </w:pPr>
    <w:r>
      <w:rPr>
        <w:b/>
        <w:noProof/>
        <w:sz w:val="20"/>
      </w:rPr>
      <w:drawing>
        <wp:anchor distT="0" distB="0" distL="114300" distR="114300" simplePos="0" relativeHeight="251659264" behindDoc="0" locked="0" layoutInCell="1" allowOverlap="1" wp14:anchorId="6F78B3DF" wp14:editId="0499731E">
          <wp:simplePos x="0" y="0"/>
          <wp:positionH relativeFrom="column">
            <wp:posOffset>-596265</wp:posOffset>
          </wp:positionH>
          <wp:positionV relativeFrom="paragraph">
            <wp:posOffset>-201930</wp:posOffset>
          </wp:positionV>
          <wp:extent cx="462915" cy="523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955" t="10487" r="26894" b="11237"/>
                  <a:stretch>
                    <a:fillRect/>
                  </a:stretch>
                </pic:blipFill>
                <pic:spPr bwMode="auto">
                  <a:xfrm>
                    <a:off x="0" y="0"/>
                    <a:ext cx="46291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3665" w:rsidRPr="006707F9">
      <w:rPr>
        <w:b/>
        <w:sz w:val="20"/>
      </w:rPr>
      <w:t>DIPONEGORO JO</w:t>
    </w:r>
    <w:r w:rsidR="00953665" w:rsidRPr="006707F9">
      <w:rPr>
        <w:b/>
        <w:sz w:val="20"/>
      </w:rPr>
      <w:t xml:space="preserve">URNAL OF </w:t>
    </w:r>
    <w:r w:rsidR="00953665">
      <w:rPr>
        <w:b/>
        <w:sz w:val="20"/>
      </w:rPr>
      <w:t>ECONOMICS</w:t>
    </w:r>
    <w:r w:rsidR="00953665" w:rsidRPr="006707F9">
      <w:rPr>
        <w:b/>
        <w:sz w:val="20"/>
      </w:rPr>
      <w:t xml:space="preserve"> </w:t>
    </w:r>
    <w:r w:rsidR="00953665" w:rsidRPr="006707F9">
      <w:rPr>
        <w:b/>
        <w:sz w:val="20"/>
      </w:rPr>
      <w:tab/>
    </w:r>
    <w:r w:rsidR="00953665" w:rsidRPr="006707F9">
      <w:rPr>
        <w:b/>
        <w:sz w:val="20"/>
      </w:rPr>
      <w:tab/>
    </w:r>
    <w:r w:rsidR="00953665" w:rsidRPr="00DF68C3">
      <w:rPr>
        <w:b/>
        <w:i/>
        <w:sz w:val="20"/>
      </w:rPr>
      <w:t xml:space="preserve">Volume </w:t>
    </w:r>
    <w:r w:rsidR="00953665">
      <w:rPr>
        <w:b/>
        <w:i/>
        <w:sz w:val="20"/>
      </w:rPr>
      <w:t>...</w:t>
    </w:r>
    <w:proofErr w:type="gramStart"/>
    <w:r w:rsidR="00953665" w:rsidRPr="00DF68C3">
      <w:rPr>
        <w:b/>
        <w:i/>
        <w:sz w:val="20"/>
      </w:rPr>
      <w:t>,  Nomor</w:t>
    </w:r>
    <w:proofErr w:type="gramEnd"/>
    <w:r w:rsidR="00953665" w:rsidRPr="00DF68C3">
      <w:rPr>
        <w:b/>
        <w:i/>
        <w:sz w:val="20"/>
      </w:rPr>
      <w:t xml:space="preserve"> </w:t>
    </w:r>
    <w:r w:rsidR="00953665">
      <w:rPr>
        <w:b/>
        <w:i/>
        <w:sz w:val="20"/>
      </w:rPr>
      <w:t>...</w:t>
    </w:r>
    <w:r w:rsidR="00953665" w:rsidRPr="00DF68C3">
      <w:rPr>
        <w:b/>
        <w:i/>
        <w:sz w:val="20"/>
      </w:rPr>
      <w:t xml:space="preserve">, Tahun 2012, Halaman </w:t>
    </w:r>
    <w:r w:rsidR="00953665">
      <w:rPr>
        <w:b/>
        <w:i/>
        <w:sz w:val="20"/>
      </w:rPr>
      <w:t>....</w:t>
    </w:r>
  </w:p>
  <w:p w:rsidR="0012765B" w:rsidRPr="0012765B" w:rsidRDefault="00953665" w:rsidP="00476D31">
    <w:pPr>
      <w:pStyle w:val="Header"/>
      <w:pBdr>
        <w:bottom w:val="single" w:sz="4" w:space="1" w:color="auto"/>
      </w:pBdr>
      <w:rPr>
        <w:i/>
        <w:sz w:val="20"/>
      </w:rPr>
    </w:pPr>
    <w:r w:rsidRPr="0012765B">
      <w:rPr>
        <w:i/>
        <w:sz w:val="20"/>
      </w:rPr>
      <w:t>http://ejournal-s1.undip.ac.id/index.php/jme</w:t>
    </w:r>
    <w:r>
      <w:rPr>
        <w:i/>
        <w:sz w:val="20"/>
      </w:rPr>
      <w:t xml:space="preserve"> </w:t>
    </w:r>
    <w:r>
      <w:rPr>
        <w:i/>
        <w:sz w:val="20"/>
      </w:rPr>
      <w:t xml:space="preserve">                      </w:t>
    </w:r>
    <w:r w:rsidRPr="00660344">
      <w:rPr>
        <w:b/>
        <w:i/>
        <w:sz w:val="20"/>
      </w:rPr>
      <w:t>ISSN</w:t>
    </w:r>
    <w:r>
      <w:rPr>
        <w:b/>
        <w:i/>
        <w:sz w:val="20"/>
      </w:rPr>
      <w:t xml:space="preserve"> (Online)</w:t>
    </w:r>
    <w:r w:rsidRPr="00660344">
      <w:rPr>
        <w:b/>
        <w:i/>
        <w:sz w:val="20"/>
      </w:rPr>
      <w:t>: 2337-3814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529C"/>
    <w:multiLevelType w:val="hybridMultilevel"/>
    <w:tmpl w:val="BB68F97A"/>
    <w:lvl w:ilvl="0" w:tplc="41362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D70823"/>
    <w:multiLevelType w:val="hybridMultilevel"/>
    <w:tmpl w:val="63D43128"/>
    <w:lvl w:ilvl="0" w:tplc="B404A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88"/>
    <w:rsid w:val="00516588"/>
    <w:rsid w:val="00702DEC"/>
    <w:rsid w:val="008557FA"/>
    <w:rsid w:val="00953665"/>
    <w:rsid w:val="00BC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88"/>
  </w:style>
  <w:style w:type="paragraph" w:styleId="Header">
    <w:name w:val="header"/>
    <w:basedOn w:val="Normal"/>
    <w:link w:val="HeaderChar"/>
    <w:uiPriority w:val="99"/>
    <w:unhideWhenUsed/>
    <w:rsid w:val="00516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88"/>
  </w:style>
  <w:style w:type="character" w:styleId="PageNumber">
    <w:name w:val="page number"/>
    <w:basedOn w:val="DefaultParagraphFont"/>
    <w:rsid w:val="00516588"/>
  </w:style>
  <w:style w:type="paragraph" w:styleId="BalloonText">
    <w:name w:val="Balloon Text"/>
    <w:basedOn w:val="Normal"/>
    <w:link w:val="BalloonTextChar"/>
    <w:uiPriority w:val="99"/>
    <w:semiHidden/>
    <w:unhideWhenUsed/>
    <w:rsid w:val="0051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6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88"/>
  </w:style>
  <w:style w:type="paragraph" w:styleId="Header">
    <w:name w:val="header"/>
    <w:basedOn w:val="Normal"/>
    <w:link w:val="HeaderChar"/>
    <w:uiPriority w:val="99"/>
    <w:unhideWhenUsed/>
    <w:rsid w:val="00516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588"/>
  </w:style>
  <w:style w:type="character" w:styleId="PageNumber">
    <w:name w:val="page number"/>
    <w:basedOn w:val="DefaultParagraphFont"/>
    <w:rsid w:val="00516588"/>
  </w:style>
  <w:style w:type="paragraph" w:styleId="BalloonText">
    <w:name w:val="Balloon Text"/>
    <w:basedOn w:val="Normal"/>
    <w:link w:val="BalloonTextChar"/>
    <w:uiPriority w:val="99"/>
    <w:semiHidden/>
    <w:unhideWhenUsed/>
    <w:rsid w:val="00516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prints.undip.ac.id/44748/1/04_WIBOWO.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s.Go.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ps.g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emalangkab.bps.go.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b="1"/>
            </a:pPr>
            <a:r>
              <a:rPr lang="en-US" sz="1200" b="1">
                <a:latin typeface="Times New Roman" panose="02020603050405020304" pitchFamily="18" charset="0"/>
                <a:cs typeface="Times New Roman" panose="02020603050405020304" pitchFamily="18" charset="0"/>
              </a:rPr>
              <a:t>Gambar</a:t>
            </a:r>
            <a:r>
              <a:rPr lang="en-US" sz="1200" b="1" baseline="0">
                <a:latin typeface="Times New Roman" panose="02020603050405020304" pitchFamily="18" charset="0"/>
                <a:cs typeface="Times New Roman" panose="02020603050405020304" pitchFamily="18" charset="0"/>
              </a:rPr>
              <a:t> 1.1</a:t>
            </a:r>
          </a:p>
          <a:p>
            <a:pPr>
              <a:defRPr b="1"/>
            </a:pPr>
            <a:r>
              <a:rPr lang="en-US" sz="1200" b="1">
                <a:latin typeface="Times New Roman" panose="02020603050405020304" pitchFamily="18" charset="0"/>
                <a:cs typeface="Times New Roman" panose="02020603050405020304" pitchFamily="18" charset="0"/>
              </a:rPr>
              <a:t>Perbandingan</a:t>
            </a:r>
            <a:r>
              <a:rPr lang="en-US" sz="1200" b="1" baseline="0">
                <a:latin typeface="Times New Roman" panose="02020603050405020304" pitchFamily="18" charset="0"/>
                <a:cs typeface="Times New Roman" panose="02020603050405020304" pitchFamily="18" charset="0"/>
              </a:rPr>
              <a:t> Perubahan Dana Desa, Jumlah Penduduk Miskin dan Indeks Kedalaman Kemiskinan di Kabupaten Pemalang Tahun 2019-2020 (Persen)</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006683270022558"/>
          <c:y val="2.1793899694162164E-2"/>
        </c:manualLayout>
      </c:layout>
      <c:overlay val="0"/>
    </c:title>
    <c:autoTitleDeleted val="0"/>
    <c:view3D>
      <c:rotX val="15"/>
      <c:rotY val="2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Dana Desa</c:v>
                </c:pt>
              </c:strCache>
            </c:strRef>
          </c:tx>
          <c:invertIfNegative val="0"/>
          <c:cat>
            <c:numRef>
              <c:f>Sheet1!$A$2:$A$3</c:f>
              <c:numCache>
                <c:formatCode>General</c:formatCode>
                <c:ptCount val="2"/>
                <c:pt idx="0">
                  <c:v>2019</c:v>
                </c:pt>
                <c:pt idx="1">
                  <c:v>2020</c:v>
                </c:pt>
              </c:numCache>
            </c:numRef>
          </c:cat>
          <c:val>
            <c:numRef>
              <c:f>Sheet1!$B$2:$B$3</c:f>
              <c:numCache>
                <c:formatCode>General</c:formatCode>
                <c:ptCount val="2"/>
                <c:pt idx="0">
                  <c:v>106.42</c:v>
                </c:pt>
                <c:pt idx="1">
                  <c:v>8.42</c:v>
                </c:pt>
              </c:numCache>
            </c:numRef>
          </c:val>
        </c:ser>
        <c:ser>
          <c:idx val="1"/>
          <c:order val="1"/>
          <c:tx>
            <c:strRef>
              <c:f>Sheet1!$C$1</c:f>
              <c:strCache>
                <c:ptCount val="1"/>
                <c:pt idx="0">
                  <c:v>Jumlah Penduduk Miskin</c:v>
                </c:pt>
              </c:strCache>
            </c:strRef>
          </c:tx>
          <c:invertIfNegative val="0"/>
          <c:cat>
            <c:numRef>
              <c:f>Sheet1!$A$2:$A$3</c:f>
              <c:numCache>
                <c:formatCode>General</c:formatCode>
                <c:ptCount val="2"/>
                <c:pt idx="0">
                  <c:v>2019</c:v>
                </c:pt>
                <c:pt idx="1">
                  <c:v>2020</c:v>
                </c:pt>
              </c:numCache>
            </c:numRef>
          </c:cat>
          <c:val>
            <c:numRef>
              <c:f>Sheet1!$C$2:$C$3</c:f>
              <c:numCache>
                <c:formatCode>General</c:formatCode>
                <c:ptCount val="2"/>
                <c:pt idx="0">
                  <c:v>-3.68</c:v>
                </c:pt>
                <c:pt idx="1">
                  <c:v>4.1500000000000004</c:v>
                </c:pt>
              </c:numCache>
            </c:numRef>
          </c:val>
        </c:ser>
        <c:ser>
          <c:idx val="2"/>
          <c:order val="2"/>
          <c:tx>
            <c:strRef>
              <c:f>Sheet1!$D$1</c:f>
              <c:strCache>
                <c:ptCount val="1"/>
                <c:pt idx="0">
                  <c:v>Indeks Kedalaman Kemiskinan</c:v>
                </c:pt>
              </c:strCache>
            </c:strRef>
          </c:tx>
          <c:invertIfNegative val="0"/>
          <c:cat>
            <c:numRef>
              <c:f>Sheet1!$A$2:$A$3</c:f>
              <c:numCache>
                <c:formatCode>General</c:formatCode>
                <c:ptCount val="2"/>
                <c:pt idx="0">
                  <c:v>2019</c:v>
                </c:pt>
                <c:pt idx="1">
                  <c:v>2020</c:v>
                </c:pt>
              </c:numCache>
            </c:numRef>
          </c:cat>
          <c:val>
            <c:numRef>
              <c:f>Sheet1!$D$2:$D$3</c:f>
              <c:numCache>
                <c:formatCode>General</c:formatCode>
                <c:ptCount val="2"/>
                <c:pt idx="0">
                  <c:v>-13.85</c:v>
                </c:pt>
                <c:pt idx="1">
                  <c:v>12.15</c:v>
                </c:pt>
              </c:numCache>
            </c:numRef>
          </c:val>
        </c:ser>
        <c:dLbls>
          <c:showLegendKey val="0"/>
          <c:showVal val="0"/>
          <c:showCatName val="0"/>
          <c:showSerName val="0"/>
          <c:showPercent val="0"/>
          <c:showBubbleSize val="0"/>
        </c:dLbls>
        <c:gapWidth val="150"/>
        <c:shape val="cylinder"/>
        <c:axId val="371425280"/>
        <c:axId val="328397312"/>
        <c:axId val="0"/>
      </c:bar3DChart>
      <c:catAx>
        <c:axId val="371425280"/>
        <c:scaling>
          <c:orientation val="minMax"/>
        </c:scaling>
        <c:delete val="0"/>
        <c:axPos val="b"/>
        <c:numFmt formatCode="General" sourceLinked="1"/>
        <c:majorTickMark val="out"/>
        <c:minorTickMark val="none"/>
        <c:tickLblPos val="nextTo"/>
        <c:crossAx val="328397312"/>
        <c:crosses val="autoZero"/>
        <c:auto val="1"/>
        <c:lblAlgn val="ctr"/>
        <c:lblOffset val="100"/>
        <c:noMultiLvlLbl val="0"/>
      </c:catAx>
      <c:valAx>
        <c:axId val="328397312"/>
        <c:scaling>
          <c:orientation val="minMax"/>
        </c:scaling>
        <c:delete val="0"/>
        <c:axPos val="l"/>
        <c:majorGridlines/>
        <c:numFmt formatCode="General" sourceLinked="1"/>
        <c:majorTickMark val="out"/>
        <c:minorTickMark val="none"/>
        <c:tickLblPos val="nextTo"/>
        <c:crossAx val="371425280"/>
        <c:crosses val="autoZero"/>
        <c:crossBetween val="between"/>
      </c:valAx>
      <c:dTable>
        <c:showHorzBorder val="1"/>
        <c:showVertBorder val="1"/>
        <c:showOutline val="1"/>
        <c:showKeys val="0"/>
        <c:txPr>
          <a:bodyPr/>
          <a:lstStyle/>
          <a:p>
            <a:pPr rtl="0">
              <a:defRPr sz="1200">
                <a:latin typeface="Times New Roman" panose="02020603050405020304" pitchFamily="18" charset="0"/>
                <a:cs typeface="Times New Roman" panose="02020603050405020304" pitchFamily="18" charset="0"/>
              </a:defRPr>
            </a:pPr>
            <a:endParaRPr lang="en-US"/>
          </a:p>
        </c:txPr>
      </c:dTable>
      <c:spPr>
        <a:noFill/>
        <a:ln w="25399">
          <a:noFill/>
        </a:ln>
      </c:spPr>
    </c:plotArea>
    <c:legend>
      <c:legendPos val="r"/>
      <c:layout>
        <c:manualLayout>
          <c:xMode val="edge"/>
          <c:yMode val="edge"/>
          <c:x val="0.6925863500289301"/>
          <c:y val="0.4315887864444295"/>
          <c:w val="0.29483501463275552"/>
          <c:h val="0.35805191017789445"/>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9</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sofa sundarti</dc:creator>
  <cp:lastModifiedBy>sofa sundarti</cp:lastModifiedBy>
  <cp:revision>2</cp:revision>
  <dcterms:created xsi:type="dcterms:W3CDTF">2022-06-30T21:40:00Z</dcterms:created>
  <dcterms:modified xsi:type="dcterms:W3CDTF">2022-06-30T23:02:00Z</dcterms:modified>
</cp:coreProperties>
</file>