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EF580" w14:textId="07E5F811" w:rsidR="007B3B70" w:rsidRDefault="00F20324" w:rsidP="0044421A">
      <w:pPr>
        <w:jc w:val="center"/>
        <w:rPr>
          <w:b/>
          <w:sz w:val="28"/>
        </w:rPr>
      </w:pPr>
      <w:r>
        <w:rPr>
          <w:b/>
          <w:sz w:val="28"/>
        </w:rPr>
        <w:t xml:space="preserve">PENGARUH SPESIALISASI INDUSTRI AUDITOR, </w:t>
      </w:r>
      <w:r>
        <w:rPr>
          <w:b/>
          <w:i/>
          <w:iCs/>
          <w:sz w:val="28"/>
        </w:rPr>
        <w:t>AUDIT FEE</w:t>
      </w:r>
      <w:r>
        <w:rPr>
          <w:b/>
          <w:sz w:val="28"/>
        </w:rPr>
        <w:t xml:space="preserve">, DAN </w:t>
      </w:r>
      <w:r>
        <w:rPr>
          <w:b/>
          <w:i/>
          <w:iCs/>
          <w:sz w:val="28"/>
        </w:rPr>
        <w:t>AUDIT TENURE</w:t>
      </w:r>
      <w:r>
        <w:rPr>
          <w:b/>
          <w:sz w:val="28"/>
        </w:rPr>
        <w:t xml:space="preserve"> TERHADAP </w:t>
      </w:r>
      <w:r>
        <w:rPr>
          <w:b/>
          <w:i/>
          <w:iCs/>
          <w:sz w:val="28"/>
        </w:rPr>
        <w:t>TAX EVASION</w:t>
      </w:r>
    </w:p>
    <w:p w14:paraId="112D1C14" w14:textId="7FCC2F02" w:rsidR="00F20324" w:rsidRPr="00F20324" w:rsidRDefault="00F20324" w:rsidP="0044421A">
      <w:pPr>
        <w:jc w:val="center"/>
        <w:rPr>
          <w:b/>
          <w:sz w:val="22"/>
          <w:szCs w:val="20"/>
        </w:rPr>
      </w:pPr>
      <w:r w:rsidRPr="00F20324">
        <w:rPr>
          <w:b/>
          <w:sz w:val="22"/>
          <w:szCs w:val="20"/>
        </w:rPr>
        <w:t>(Studi Empiris pada Perusahaan Energi yang Terdaftar di Bursa Efek Indonesia Tahun 2022-2024)</w:t>
      </w:r>
    </w:p>
    <w:p w14:paraId="5E4CDFE7" w14:textId="77777777" w:rsidR="0044421A" w:rsidRPr="0044421A" w:rsidRDefault="0044421A" w:rsidP="0044421A">
      <w:pPr>
        <w:jc w:val="center"/>
        <w:rPr>
          <w:b/>
          <w:bCs/>
          <w:lang w:val="sv-SE"/>
        </w:rPr>
      </w:pPr>
    </w:p>
    <w:p w14:paraId="463687CB" w14:textId="3620175F" w:rsidR="00C33CD0" w:rsidRPr="00F20324" w:rsidRDefault="00F20324" w:rsidP="00F20324">
      <w:pPr>
        <w:spacing w:after="240"/>
        <w:jc w:val="center"/>
        <w:rPr>
          <w:b/>
          <w:bCs/>
          <w:lang w:val="sv-SE"/>
        </w:rPr>
      </w:pPr>
      <w:r w:rsidRPr="00F20324">
        <w:rPr>
          <w:b/>
          <w:bCs/>
          <w:lang w:val="sv-SE"/>
        </w:rPr>
        <w:t>Maharani Darmawanti, Tarmizi Achma</w:t>
      </w:r>
      <w:r w:rsidR="0093659F">
        <w:rPr>
          <w:b/>
          <w:bCs/>
          <w:lang w:val="sv-SE"/>
        </w:rPr>
        <w:t>d</w:t>
      </w:r>
      <w:r w:rsidR="0093659F">
        <w:rPr>
          <w:rStyle w:val="FootnoteReference"/>
          <w:b/>
          <w:bCs/>
          <w:lang w:val="sv-SE"/>
        </w:rPr>
        <w:footnoteReference w:id="1"/>
      </w:r>
    </w:p>
    <w:p w14:paraId="03D6222C" w14:textId="77777777" w:rsidR="007B3B70" w:rsidRDefault="002A0F96" w:rsidP="0044421A">
      <w:pPr>
        <w:jc w:val="center"/>
        <w:rPr>
          <w:lang w:val="sv-SE"/>
        </w:rPr>
      </w:pPr>
      <w:r>
        <w:rPr>
          <w:lang w:val="sv-SE"/>
        </w:rPr>
        <w:t>Departemen</w:t>
      </w:r>
      <w:r w:rsidR="00AE2D68">
        <w:rPr>
          <w:lang w:val="sv-SE"/>
        </w:rPr>
        <w:t xml:space="preserve"> </w:t>
      </w:r>
      <w:r w:rsidR="00FB3E2D">
        <w:rPr>
          <w:lang w:val="sv-SE"/>
        </w:rPr>
        <w:t xml:space="preserve">Akuntansi </w:t>
      </w:r>
      <w:r w:rsidR="007B3B70" w:rsidRPr="007E2921">
        <w:rPr>
          <w:lang w:val="sv-SE"/>
        </w:rPr>
        <w:t>Fakultas Ekonomi</w:t>
      </w:r>
      <w:r w:rsidR="0044421A" w:rsidRPr="007E2921">
        <w:rPr>
          <w:lang w:val="sv-SE"/>
        </w:rPr>
        <w:t>ka dan Bisnis</w:t>
      </w:r>
      <w:r w:rsidR="007B3B70" w:rsidRPr="007E2921">
        <w:rPr>
          <w:lang w:val="sv-SE"/>
        </w:rPr>
        <w:t xml:space="preserve"> Universitas Diponegoro</w:t>
      </w:r>
    </w:p>
    <w:p w14:paraId="125E4A96" w14:textId="32E1BDA8" w:rsidR="00F20324" w:rsidRPr="007E2921" w:rsidRDefault="00F20324" w:rsidP="0044421A">
      <w:pPr>
        <w:jc w:val="center"/>
        <w:rPr>
          <w:lang w:val="sv-SE"/>
        </w:rPr>
      </w:pPr>
      <w:r w:rsidRPr="00F20324">
        <w:t>Jl. Prof. Soedharto SH Tembalang, Semarang 50239, Phone: +6282135240978</w:t>
      </w:r>
    </w:p>
    <w:p w14:paraId="48E9B4AC" w14:textId="77777777" w:rsidR="007B3B70" w:rsidRPr="0044421A" w:rsidRDefault="007B3B70" w:rsidP="0044421A">
      <w:pPr>
        <w:jc w:val="center"/>
        <w:rPr>
          <w:b/>
          <w:lang w:val="sv-SE"/>
        </w:rPr>
      </w:pPr>
    </w:p>
    <w:p w14:paraId="48C4F749" w14:textId="77777777" w:rsidR="007B3B70" w:rsidRPr="0044421A" w:rsidRDefault="007B3B70" w:rsidP="0044421A">
      <w:pPr>
        <w:jc w:val="center"/>
        <w:rPr>
          <w:b/>
          <w:lang w:val="sv-SE"/>
        </w:rPr>
      </w:pPr>
    </w:p>
    <w:p w14:paraId="474F8C54" w14:textId="77777777" w:rsidR="007B3B70" w:rsidRPr="0044421A" w:rsidRDefault="007B3B70" w:rsidP="0044421A">
      <w:pPr>
        <w:jc w:val="center"/>
        <w:rPr>
          <w:b/>
          <w:i/>
          <w:lang w:val="id-ID"/>
        </w:rPr>
      </w:pPr>
      <w:r w:rsidRPr="0044421A">
        <w:rPr>
          <w:b/>
          <w:i/>
          <w:lang w:val="id-ID"/>
        </w:rPr>
        <w:t>ABSTRACT</w:t>
      </w:r>
    </w:p>
    <w:p w14:paraId="51C74011" w14:textId="65B537FE" w:rsidR="007B3B70" w:rsidRPr="00F20324" w:rsidRDefault="00F20324" w:rsidP="00F20324">
      <w:pPr>
        <w:spacing w:after="80"/>
        <w:jc w:val="both"/>
        <w:rPr>
          <w:i/>
          <w:iCs/>
        </w:rPr>
      </w:pPr>
      <w:r w:rsidRPr="00A02176">
        <w:rPr>
          <w:i/>
          <w:iCs/>
        </w:rPr>
        <w:t>Tax evasion remains a critical issue in the taxation system as it directly reduces government revenue and undermines the credibility of corporate financial reporting. This study aims to empirically examine the effect of auditor industry specialization, audit fee, and audit tenure on tax evasion in energy sector companies listed on the Indonesia Stock Exchange during the 2022–2024 period. This study employs secondary data and uses a purposive sampling method, resulting in 105 firm-year observations.</w:t>
      </w:r>
      <w:r>
        <w:rPr>
          <w:i/>
          <w:iCs/>
        </w:rPr>
        <w:t xml:space="preserve"> </w:t>
      </w:r>
      <w:r w:rsidRPr="00A02176">
        <w:rPr>
          <w:i/>
          <w:iCs/>
        </w:rPr>
        <w:t>The results indicate that auditor industry specialization has a negative and significant effect on tax evasion, suggesting that auditors with industry-specific expertise are more effective in monitoring and reducing tax evasion practices. Meanwhile, audit fee and audit tenure do not have a significant effect on tax evasion. These findings imply that higher audit fees and longer auditor–client relationships do not necessarily enhance auditors’ ability to detect tax evasion.</w:t>
      </w:r>
    </w:p>
    <w:p w14:paraId="63F1A5F0" w14:textId="77777777" w:rsidR="007B3B70" w:rsidRPr="0044421A" w:rsidRDefault="007B3B70" w:rsidP="0044421A">
      <w:pPr>
        <w:jc w:val="both"/>
        <w:rPr>
          <w:i/>
          <w:lang w:val="id-ID"/>
        </w:rPr>
      </w:pPr>
    </w:p>
    <w:p w14:paraId="4877D941" w14:textId="640A970D" w:rsidR="00AE2D68" w:rsidRDefault="005556A1" w:rsidP="0044421A">
      <w:pPr>
        <w:jc w:val="both"/>
        <w:rPr>
          <w:b/>
        </w:rPr>
      </w:pPr>
      <w:r>
        <w:rPr>
          <w:i/>
          <w:sz w:val="22"/>
          <w:szCs w:val="22"/>
        </w:rPr>
        <w:t>Keywords:</w:t>
      </w:r>
      <w:r w:rsidR="00F20324" w:rsidRPr="00F20324">
        <w:rPr>
          <w:i/>
          <w:iCs/>
        </w:rPr>
        <w:t xml:space="preserve"> </w:t>
      </w:r>
      <w:r w:rsidR="00F20324">
        <w:rPr>
          <w:i/>
          <w:iCs/>
        </w:rPr>
        <w:t>Tax Evasion, Auditor Industry Specialization, Audit Fee, Audit Tenure</w:t>
      </w:r>
    </w:p>
    <w:p w14:paraId="38D67020" w14:textId="77777777" w:rsidR="00AE2D68" w:rsidRDefault="00AE2D68" w:rsidP="0044421A">
      <w:pPr>
        <w:jc w:val="both"/>
        <w:rPr>
          <w:b/>
        </w:rPr>
      </w:pPr>
    </w:p>
    <w:p w14:paraId="1598497A" w14:textId="77777777" w:rsidR="007B3B70" w:rsidRPr="0044421A" w:rsidRDefault="007B3B70" w:rsidP="00C01985">
      <w:pPr>
        <w:pStyle w:val="Heading1"/>
        <w:spacing w:line="240" w:lineRule="auto"/>
        <w:jc w:val="both"/>
        <w:rPr>
          <w:lang w:val="id-ID"/>
        </w:rPr>
      </w:pPr>
      <w:r w:rsidRPr="0044421A">
        <w:rPr>
          <w:lang w:val="id-ID"/>
        </w:rPr>
        <w:t>PENDAHULUAN</w:t>
      </w:r>
    </w:p>
    <w:p w14:paraId="54898A22" w14:textId="45D31253" w:rsidR="003F788C" w:rsidRPr="003F788C" w:rsidRDefault="003F788C" w:rsidP="00F91D99">
      <w:pPr>
        <w:spacing w:after="80"/>
        <w:ind w:firstLine="720"/>
        <w:jc w:val="both"/>
      </w:pPr>
      <w:r w:rsidRPr="003F788C">
        <w:t xml:space="preserve">Pajak merupakan salah satu sumber utama penerimaan negara yang berperan penting dalam pembiayaan pembangunan. Di Indonesia, kontribusi sektor perpajakan terhadap Anggaran Pendapatan dan Belanja Negara (APBN) mencapai lebih dari 80%, sehingga pemerintah terus berupaya meningkatkan efektivitas pengumpulan pajak. Namun demikian, upaya tersebut masih menghadapi berbagai tantangan, salah satunya adalah praktik </w:t>
      </w:r>
      <w:r w:rsidRPr="003F788C">
        <w:rPr>
          <w:i/>
          <w:iCs/>
        </w:rPr>
        <w:t>tax evasion</w:t>
      </w:r>
      <w:r w:rsidRPr="003F788C">
        <w:t xml:space="preserve">. </w:t>
      </w:r>
      <w:r w:rsidRPr="003F788C">
        <w:rPr>
          <w:i/>
          <w:iCs/>
        </w:rPr>
        <w:t>Tax evasion</w:t>
      </w:r>
      <w:r w:rsidRPr="003F788C">
        <w:t xml:space="preserve"> merupakan tindakan penggelapan pajak yang dilakukan secara ilegal oleh individu maupun perusahaan untuk mengurangi kewajiban pajaknya melalui berbagai cara seperti manipulasi laporan keuangan, penyembunyian pendapatan, atau pembesaran biaya </w:t>
      </w:r>
      <w:r w:rsidR="003C007B">
        <w:fldChar w:fldCharType="begin" w:fldLock="1"/>
      </w:r>
      <w:r w:rsidR="003C007B">
        <w:instrText>ADDIN CSL_CITATION {"citationItems":[{"id":"ITEM-1","itemData":{"DOI":"10.1016/J.JACCECO.2010.09.002","ISSN":"0165-4101","abstract":"In this paper, we present a review of tax research. We survey four main areas of the literature: (1) the informational role of income tax expense reported for financial accounting, (2) corporate tax avoidance, (3) corporate decision-making including investment, capital structure, and organizational form, and (4) taxes and asset pricing. We summarize the research areas and questions examined to date and what we have learned or not learned from the work completed thus far. In addition, we provide our opinion as to the interesting and important issues for future research. © 2010 Elsevier B.V.","author":[{"dropping-particle":"","family":"Hanlon","given":"Michelle","non-dropping-particle":"","parse-names":false,"suffix":""},{"dropping-particle":"","family":"Heitzman","given":"Shane","non-dropping-particle":"","parse-names":false,"suffix":""}],"container-title":"Journal of Accounting and Economics","id":"ITEM-1","issue":"2-3","issued":{"date-parts":[["2010","12","1"]]},"page":"127-178","publisher":"North-Holland","title":"A review of tax research","type":"article-journal","volume":"50"},"uris":["http://www.mendeley.com/documents/?uuid=adf2e76f-a1ae-3c07-97ab-fe7fa0197c61"]},{"id":"ITEM-2","itemData":{"DOI":"10.1016/J.INTACCAUDTAX.2021.100380","ISSN":"1061-9518","abstract":"Most governments attempt to fight and reduce tax evasion. A dilemma arises about whether policies should encourage the ethical behavior of firms (an informal institution) or strengthen auditing standards (a formal institution). In this study, we provide novel worldwide evidence on the effects of these two factors on tax evasion. Overall, even though strong auditing standards may mitigate tax evasion, the ethical behavior of firms has a statistically more robust effect in achieving this goal; these results hold after we control for endogeneity and different subperiods (before, during, and after the recent global financial crisis). More specifically, the ethical behavior of firms is effective for low- and middle-income countries with low and high levels of investor protection and low-efficacy corporate boards; however, ethical behavior and auditing standards are mutually effective for high-income countries and countries with middle level investor protection and middle- and high-efficacy corporate boards. Thus, this study provides useful insights for organizations and policy makers.","author":[{"dropping-particle":"","family":"Benkraiem","given":"Ramzi","non-dropping-particle":"","parse-names":false,"suffix":""},{"dropping-particle":"","family":"Uyar","given":"Ali","non-dropping-particle":"","parse-names":false,"suffix":""},{"dropping-particle":"","family":"Kilic","given":"Merve","non-dropping-particle":"","parse-names":false,"suffix":""},{"dropping-particle":"","family":"Schneider","given":"Friedrich","non-dropping-particle":"","parse-names":false,"suffix":""}],"container-title":"Journal of International Accounting, Auditing and Taxation","id":"ITEM-2","issued":{"date-parts":[["2021","6","1"]]},"page":"100380","publisher":"JAI","title":"Ethical behavior, auditing strength, and tax evasion: A worldwide perspective","type":"article-journal","volume":"43"},"uris":["http://www.mendeley.com/documents/?uuid=26e5e7c4-b5ae-3746-bd21-d393982e5f59"]}],"mendeley":{"formattedCitation":"(Benkraiem et al., 2021; Hanlon &amp; Heitzman, 2010)","plainTextFormattedCitation":"(Benkraiem et al., 2021; Hanlon &amp; Heitzman, 2010)","previouslyFormattedCitation":"(Benkraiem et al., 2021; Hanlon &amp; Heitzman, 2010)"},"properties":{"noteIndex":0},"schema":"https://github.com/citation-style-language/schema/raw/master/csl-citation.json"}</w:instrText>
      </w:r>
      <w:r w:rsidR="003C007B">
        <w:fldChar w:fldCharType="separate"/>
      </w:r>
      <w:r w:rsidR="003C007B" w:rsidRPr="003C007B">
        <w:rPr>
          <w:noProof/>
        </w:rPr>
        <w:t xml:space="preserve">(Benkraiem </w:t>
      </w:r>
      <w:r w:rsidR="003C007B" w:rsidRPr="003C007B">
        <w:rPr>
          <w:i/>
          <w:iCs/>
          <w:noProof/>
        </w:rPr>
        <w:t>et al</w:t>
      </w:r>
      <w:r w:rsidR="003C007B" w:rsidRPr="003C007B">
        <w:rPr>
          <w:noProof/>
        </w:rPr>
        <w:t>., 2021; Hanlon &amp; Heitzman, 2010)</w:t>
      </w:r>
      <w:r w:rsidR="003C007B">
        <w:fldChar w:fldCharType="end"/>
      </w:r>
      <w:r w:rsidRPr="003F788C">
        <w:t>. Praktik ini tidak hanya melanggar peraturan perpajakan, tetapi juga menimbulkan kerugian signifikan bagi keuangan negara.</w:t>
      </w:r>
    </w:p>
    <w:p w14:paraId="3B850D00" w14:textId="1E05E6A2" w:rsidR="003F788C" w:rsidRPr="003F788C" w:rsidRDefault="003F788C" w:rsidP="00F91D99">
      <w:pPr>
        <w:spacing w:after="80"/>
        <w:ind w:firstLine="720"/>
        <w:jc w:val="both"/>
      </w:pPr>
      <w:r w:rsidRPr="003F788C">
        <w:t xml:space="preserve">Beberapa kasus penggelapan pajak di Indonesia menunjukkan bahwa praktik </w:t>
      </w:r>
      <w:r w:rsidRPr="003F788C">
        <w:rPr>
          <w:i/>
          <w:iCs/>
        </w:rPr>
        <w:t>tax evasion</w:t>
      </w:r>
      <w:r w:rsidRPr="003F788C">
        <w:t xml:space="preserve"> masih menjadi permasalahan serius. Direktorat Jenderal Pajak (DJP) pernah menetapkan Direktur PT SBI sebagai tersangka karena penggunaan faktur pajak fiktif yang menyebabkan kerugian negara sebesar Rp890 juta. Kasus lain juga terjadi pada tersangka JAP yang menyebabkan kerugian negara hingga Rp214 miliar akibat manipulasi pelaporan pajak perusahaan, serta kasus PT BAPI yang menimbulkan kerugian negara sebesar Rp29 miliar </w:t>
      </w:r>
      <w:r w:rsidR="003C007B">
        <w:fldChar w:fldCharType="begin" w:fldLock="1"/>
      </w:r>
      <w:r w:rsidR="003C007B">
        <w:instrText>ADDIN CSL_CITATION {"citationItems":[{"id":"ITEM-1","itemData":{"URL":"https://www.pajak.go.id/id/siaran-pers/rugikan-negara-214-miliar-tersangka-jap-terancam-dibui-enam-tahun","accessed":{"date-parts":[["2025","10","9"]]},"author":[{"dropping-particle":"","family":"DJP","given":"Pers","non-dropping-particle":"","parse-names":false,"suffix":""}],"container-title":"www.pajak.go.id","id":"ITEM-1","issued":{"date-parts":[["2024"]]},"title":"Rugikan Negara 21,4 Miliar, Tersangka JAP Terancam Dibui Enam Tahun","type":"webpage"},"uris":["http://www.mendeley.com/documents/?uuid=6c1bd61b-086d-4033-83af-333c5d2cb252"]},{"id":"ITEM-2","itemData":{"URL":"https://www.pajak.go.id/id/siaran-pers/direktur-pt-sbi-diduga-gunakan-faktur-pajak-fiktif-negara-rugi-rp890-juta","accessed":{"date-parts":[["2025","10","9"]]},"author":[{"dropping-particle":"","family":"DJP","given":"Pers","non-dropping-particle":"","parse-names":false,"suffix":""}],"container-title":"www.pajak.go.id","id":"ITEM-2","issued":{"date-parts":[["2025"]]},"title":"Direktur PT SBI Diduga Gunakan Faktur Pajak Fiktif, Negara Rugi Rp890 Juta","type":"webpage"},"uris":["http://www.mendeley.com/documents/?uuid=d671a1f5-9dcd-440e-aae3-5a00b2f6b2fb"]},{"id":"ITEM-3","itemData":{"URL":"https://www.pajak.go.id/id/siaran-pers/rugikan-negara-29-miliar-korporasi-pt-bapi-resmi-diserahkan-ke-kejaksaan","author":[{"dropping-particle":"","family":"Solikhun","given":"Mokh.","non-dropping-particle":"","parse-names":false,"suffix":""}],"container-title":"www.pajak.go.id","id":"ITEM-3","issued":{"date-parts":[["2024"]]},"title":"Rugikan Negara 2,9 Miliar, Korporasi PT BAPI Resmi Diserahkan ke Kejaksaan","type":"webpage"},"uris":["http://www.mendeley.com/documents/?uuid=0b64e2ba-9ab0-4f10-acd7-45029f207b0b"]}],"mendeley":{"formattedCitation":"(DJP, 2024, 2025; Solikhun, 2024)","plainTextFormattedCitation":"(DJP, 2024, 2025; Solikhun, 2024)","previouslyFormattedCitation":"(DJP, 2024, 2025; Solikhun, 2024)"},"properties":{"noteIndex":0},"schema":"https://github.com/citation-style-language/schema/raw/master/csl-citation.json"}</w:instrText>
      </w:r>
      <w:r w:rsidR="003C007B">
        <w:fldChar w:fldCharType="separate"/>
      </w:r>
      <w:r w:rsidR="003C007B" w:rsidRPr="003C007B">
        <w:rPr>
          <w:noProof/>
        </w:rPr>
        <w:t>(DJP, 2024, 2025; Solikhun, 2024)</w:t>
      </w:r>
      <w:r w:rsidR="003C007B">
        <w:fldChar w:fldCharType="end"/>
      </w:r>
      <w:r w:rsidRPr="003F788C">
        <w:t>. Kasus-kasus tersebut menunjukkan bahwa praktik penggelapan pajak masih marak terjadi sehingga diperlukan mekanisme pengawasan yang efektif, termasuk melalui peran auditor eksternal.</w:t>
      </w:r>
    </w:p>
    <w:p w14:paraId="7A5079E2" w14:textId="5C0A20DA" w:rsidR="003F788C" w:rsidRPr="003F788C" w:rsidRDefault="003F788C" w:rsidP="00F91D99">
      <w:pPr>
        <w:spacing w:after="80"/>
        <w:ind w:firstLine="720"/>
        <w:jc w:val="both"/>
      </w:pPr>
      <w:r w:rsidRPr="003F788C">
        <w:t xml:space="preserve">Dalam konteks audit, karakteristik auditor seperti spesialisasi industri auditor, </w:t>
      </w:r>
      <w:r w:rsidRPr="003F788C">
        <w:rPr>
          <w:i/>
          <w:iCs/>
        </w:rPr>
        <w:t>audit fee</w:t>
      </w:r>
      <w:r w:rsidRPr="003F788C">
        <w:t xml:space="preserve">, dan </w:t>
      </w:r>
      <w:r w:rsidRPr="003F788C">
        <w:rPr>
          <w:i/>
          <w:iCs/>
        </w:rPr>
        <w:t>audit tenure</w:t>
      </w:r>
      <w:r w:rsidRPr="003F788C">
        <w:t xml:space="preserve"> diyakini dapat memengaruhi kemampuan auditor dalam mendeteksi </w:t>
      </w:r>
      <w:r w:rsidRPr="003F788C">
        <w:lastRenderedPageBreak/>
        <w:t xml:space="preserve">indikasi penggelapan pajak. Spesialisasi industri auditor mencerminkan tingkat keahlian auditor dalam memahami karakteristik dan risiko pada industri tertentu. Auditor yang memiliki spesialisasi industri umumnya lebih mampu mengidentifikasi pola pelaporan keuangan yang tidak wajar sehingga berpotensi meningkatkan deteksi terhadap praktik </w:t>
      </w:r>
      <w:r w:rsidRPr="003F788C">
        <w:rPr>
          <w:i/>
          <w:iCs/>
        </w:rPr>
        <w:t>tax evasion</w:t>
      </w:r>
      <w:r w:rsidRPr="003F788C">
        <w:t xml:space="preserve">. Penelitian sebelumnya menunjukkan bahwa auditor spesialis industri memiliki kecenderungan lebih kuat dalam mendeteksi penyimpangan yang berkaitan dengan kebijakan perpajakan perusahaan </w:t>
      </w:r>
      <w:r w:rsidR="003C007B">
        <w:fldChar w:fldCharType="begin" w:fldLock="1"/>
      </w:r>
      <w:r w:rsidR="00344C85">
        <w:instrText>ADDIN CSL_CITATION {"citationItems":[{"id":"ITEM-1","itemData":{"DOI":"10.30871/JAAT.V4I2.1661","ISSN":"2548-9925","abstract":"This study aims to explore the determination of tax avoidance in family-controlled public companies. The research sample was 336 firm years of public companies listed on the Indonesia Stock Exchange. Hypothesis testing uses a multivariate regression analysis. This study found that tax avoidance is influenced by the characteristics of the company and corporate governance mechanisms. We prove that leverage has a negative effect on tax avoidance, company size does not significantly influence tax avoidance, pretax return on asset and the level of financial distress have a positive effect on tax avoidance. This study also found that auditor quality has a negative effect on tax avoidance, while management compensation has a positive effect. However, this study cannot prove the effect of the effectiveness of the independent board on tax avoidance.","author":[{"dropping-particle":"","family":"Warsini","given":"Sabar","non-dropping-particle":"","parse-names":false,"suffix":""},{"dropping-particle":"","family":"Fatimah","given":"Hayati","non-dropping-particle":"","parse-names":false,"suffix":""}],"container-title":"Journal of Applied Accounting and Taxation","id":"ITEM-1","issue":"2","issued":{"date-parts":[["2019","10","30"]]},"page":"203-213","publisher":"Politeknik Negeri Batam","title":"Analisis Determinan Penghindaran Pajak Pada Perusahaan Publik yang Dikontrol Keluarga","type":"article-journal","volume":"4"},"uris":["http://www.mendeley.com/documents/?uuid=76faeead-62d9-3ee9-a085-37e6fd0ef583"]}],"mendeley":{"formattedCitation":"(Warsini &amp; Fatimah, 2019)","plainTextFormattedCitation":"(Warsini &amp; Fatimah, 2019)","previouslyFormattedCitation":"(Warsini &amp; Fatimah, 2019)"},"properties":{"noteIndex":0},"schema":"https://github.com/citation-style-language/schema/raw/master/csl-citation.json"}</w:instrText>
      </w:r>
      <w:r w:rsidR="003C007B">
        <w:fldChar w:fldCharType="separate"/>
      </w:r>
      <w:r w:rsidR="003C007B" w:rsidRPr="003C007B">
        <w:rPr>
          <w:noProof/>
        </w:rPr>
        <w:t>(Warsini &amp; Fatimah, 2019)</w:t>
      </w:r>
      <w:r w:rsidR="003C007B">
        <w:fldChar w:fldCharType="end"/>
      </w:r>
      <w:r w:rsidRPr="003F788C">
        <w:t>.</w:t>
      </w:r>
    </w:p>
    <w:p w14:paraId="7C60DED7" w14:textId="10170905" w:rsidR="003F788C" w:rsidRPr="003F788C" w:rsidRDefault="00C01985" w:rsidP="00F91D99">
      <w:pPr>
        <w:spacing w:after="80"/>
        <w:ind w:firstLine="720"/>
        <w:jc w:val="both"/>
      </w:pPr>
      <w:r w:rsidRPr="00C01985">
        <w:rPr>
          <w:i/>
          <w:iCs/>
        </w:rPr>
        <w:t>A</w:t>
      </w:r>
      <w:r w:rsidR="003F788C" w:rsidRPr="003F788C">
        <w:rPr>
          <w:i/>
          <w:iCs/>
        </w:rPr>
        <w:t>udit fee</w:t>
      </w:r>
      <w:r w:rsidR="003F788C" w:rsidRPr="003F788C">
        <w:t xml:space="preserve"> juga dapat memengaruhi kualitas proses audit. </w:t>
      </w:r>
      <w:r w:rsidR="003F788C" w:rsidRPr="003F788C">
        <w:rPr>
          <w:i/>
          <w:iCs/>
        </w:rPr>
        <w:t>Audit fee</w:t>
      </w:r>
      <w:r w:rsidR="003F788C" w:rsidRPr="003F788C">
        <w:t xml:space="preserve"> yang lebih tinggi biasanya mencerminkan lingkup pemeriksaan yang lebih luas dan prosedur audit yang lebih mendalam sehingga berpotensi meningkatkan kualitas audit dan kemampuan auditor dalam mendeteksi praktik kecurangan, termasuk </w:t>
      </w:r>
      <w:r w:rsidR="003F788C" w:rsidRPr="003F788C">
        <w:rPr>
          <w:i/>
          <w:iCs/>
        </w:rPr>
        <w:t>tax evasion</w:t>
      </w:r>
      <w:r w:rsidR="003F788C" w:rsidRPr="003F788C">
        <w:t xml:space="preserve">. Sementara itu, </w:t>
      </w:r>
      <w:r w:rsidR="003F788C" w:rsidRPr="003F788C">
        <w:rPr>
          <w:i/>
          <w:iCs/>
        </w:rPr>
        <w:t>audit tenure</w:t>
      </w:r>
      <w:r w:rsidR="003F788C" w:rsidRPr="003F788C">
        <w:t xml:space="preserve"> menggambarkan lamanya hubungan kerja antara auditor dan klien. </w:t>
      </w:r>
      <w:r w:rsidR="003F788C" w:rsidRPr="003F788C">
        <w:rPr>
          <w:i/>
          <w:iCs/>
        </w:rPr>
        <w:t>Tenure</w:t>
      </w:r>
      <w:r w:rsidR="003F788C" w:rsidRPr="003F788C">
        <w:t xml:space="preserve"> yang lebih panjang dapat meningkatkan pemahaman auditor terhadap sistem dan risiko perusahaan, namun di sisi lain juga berpotensi menurunkan independensi auditor akibat hubungan yang terlalu dekat dengan klien.</w:t>
      </w:r>
    </w:p>
    <w:p w14:paraId="2B51D52B" w14:textId="592E0F1A" w:rsidR="003F788C" w:rsidRPr="003F788C" w:rsidRDefault="003F788C" w:rsidP="00F91D99">
      <w:pPr>
        <w:spacing w:after="80"/>
        <w:ind w:firstLine="720"/>
        <w:jc w:val="both"/>
      </w:pPr>
      <w:r w:rsidRPr="003F788C">
        <w:t xml:space="preserve">Penelitian sebelumnya menunjukkan hasil yang beragam terkait pengaruh karakteristik auditor terhadap praktik penghindaran pajak. </w:t>
      </w:r>
      <w:r w:rsidR="00B54E1C">
        <w:fldChar w:fldCharType="begin" w:fldLock="1"/>
      </w:r>
      <w:r w:rsidR="00B54E1C">
        <w:instrText>ADDIN CSL_CITATION {"citationItems":[{"id":"ITEM-1","itemData":{"DOI":"10.21043/aktsar.v6i1.20383","author":[{"dropping-particle":"","family":"Rosalina","given":"Lisa","non-dropping-particle":"","parse-names":false,"suffix":""}],"container-title":"AKTSAR: Jurnal Akuntansi Syariah","id":"ITEM-1","issued":{"date-parts":[["2023"]]},"page":"104-120","title":"Tax Avoidance: Peran Karakter Auditor Menekan Munculnya Tax Avoidance (Kasus Pada Perusahaan yang Tergabung dalam JII70 Tahun 2021)","type":"article-journal","volume":"6"},"uris":["http://www.mendeley.com/documents/?uuid=3ba42198-7d24-4c82-974f-1b2794149f56"]}],"mendeley":{"formattedCitation":"(Rosalina, 2023)","manualFormatting":"Rosalina (2023)","plainTextFormattedCitation":"(Rosalina, 2023)","previouslyFormattedCitation":"(Rosalina, 2023)"},"properties":{"noteIndex":0},"schema":"https://github.com/citation-style-language/schema/raw/master/csl-citation.json"}</w:instrText>
      </w:r>
      <w:r w:rsidR="00B54E1C">
        <w:fldChar w:fldCharType="separate"/>
      </w:r>
      <w:r w:rsidR="00B54E1C" w:rsidRPr="00B54E1C">
        <w:rPr>
          <w:noProof/>
        </w:rPr>
        <w:t xml:space="preserve">Rosalina </w:t>
      </w:r>
      <w:r w:rsidR="00B54E1C">
        <w:rPr>
          <w:noProof/>
        </w:rPr>
        <w:t>(</w:t>
      </w:r>
      <w:r w:rsidR="00B54E1C" w:rsidRPr="00B54E1C">
        <w:rPr>
          <w:noProof/>
        </w:rPr>
        <w:t>2023)</w:t>
      </w:r>
      <w:r w:rsidR="00B54E1C">
        <w:fldChar w:fldCharType="end"/>
      </w:r>
      <w:r w:rsidRPr="003F788C">
        <w:t xml:space="preserve"> menemukan bahwa spesialisasi industri auditor dan </w:t>
      </w:r>
      <w:r w:rsidRPr="003F788C">
        <w:rPr>
          <w:i/>
          <w:iCs/>
        </w:rPr>
        <w:t>audit</w:t>
      </w:r>
      <w:r w:rsidRPr="003F788C">
        <w:t xml:space="preserve"> </w:t>
      </w:r>
      <w:r w:rsidRPr="003F788C">
        <w:rPr>
          <w:i/>
          <w:iCs/>
        </w:rPr>
        <w:t>fee</w:t>
      </w:r>
      <w:r w:rsidRPr="003F788C">
        <w:t xml:space="preserve"> berpengaruh terhadap praktik penghindaran pajak, sedangkan </w:t>
      </w:r>
      <w:r w:rsidRPr="003F788C">
        <w:rPr>
          <w:i/>
          <w:iCs/>
        </w:rPr>
        <w:t>audit</w:t>
      </w:r>
      <w:r w:rsidRPr="003F788C">
        <w:t xml:space="preserve"> </w:t>
      </w:r>
      <w:r w:rsidRPr="003F788C">
        <w:rPr>
          <w:i/>
          <w:iCs/>
        </w:rPr>
        <w:t>tenure</w:t>
      </w:r>
      <w:r w:rsidRPr="003F788C">
        <w:t xml:space="preserve"> tidak berpengaruh signifikan. Sebaliknya, </w:t>
      </w:r>
      <w:r w:rsidR="00B54E1C">
        <w:fldChar w:fldCharType="begin" w:fldLock="1"/>
      </w:r>
      <w:r w:rsidR="00AB3B09">
        <w:instrText>ADDIN CSL_CITATION {"citationItems":[{"id":"ITEM-1","itemData":{"DOI":"https://doi.org/10.28932/jam.v16i1.8098","abstract":"Purpose - This study aims to explore the role of auditor characteristics on the practice of tax avoidance in Indonesia. Auditor characteristics are determined from the auditor industry specialization, audit opinion, audit tenure, and audit fee. Meanwhile, tax avoidance behavior is determined from a comparison of the effective tax rate (ETR). Design/methodology/approach - The secondary data analysis on this study applies a panel data regression method to analyze data from companies listed on the Indonesia Stock Exchange between 2018 and 2022. Findings -The findings indicate that audit tenure has a significant negative effect on tax avoidance. Meanwhile, auditor industry specialization, audit opinion, and audit fees do not have a significant effect on tax avoidance. Research limitations/implications - The results of this study contribute to the role of auditor characteristics on tax avoidance practices.","author":[{"dropping-particle":"","family":"Hendi","given":"","non-dropping-particle":"","parse-names":false,"suffix":""},{"dropping-particle":"","family":"Sherly","given":"","non-dropping-particle":"","parse-names":false,"suffix":""}],"container-title":"Jurnal Akuntansi","id":"ITEM-1","issue":"1","issued":{"date-parts":[["2024"]]},"page":"41-52","title":"The Role of Auditor Characteristics on Tax Avoidance","type":"article-journal","volume":"16"},"uris":["http://www.mendeley.com/documents/?uuid=c4e25895-4674-483a-9f38-11b6ff08cca3"]}],"mendeley":{"formattedCitation":"(Hendi &amp; Sherly, 2024)","manualFormatting":"Hendi &amp; Sherly (2024)","plainTextFormattedCitation":"(Hendi &amp; Sherly, 2024)","previouslyFormattedCitation":"(Hendi &amp; Sherly, 2024)"},"properties":{"noteIndex":0},"schema":"https://github.com/citation-style-language/schema/raw/master/csl-citation.json"}</w:instrText>
      </w:r>
      <w:r w:rsidR="00B54E1C">
        <w:fldChar w:fldCharType="separate"/>
      </w:r>
      <w:r w:rsidR="00B54E1C" w:rsidRPr="00B54E1C">
        <w:rPr>
          <w:noProof/>
        </w:rPr>
        <w:t xml:space="preserve">Hendi </w:t>
      </w:r>
      <w:r w:rsidR="00C01985">
        <w:rPr>
          <w:noProof/>
        </w:rPr>
        <w:t>&amp;</w:t>
      </w:r>
      <w:r w:rsidR="00B54E1C" w:rsidRPr="00B54E1C">
        <w:rPr>
          <w:noProof/>
        </w:rPr>
        <w:t xml:space="preserve"> Sherly </w:t>
      </w:r>
      <w:r w:rsidR="00B54E1C">
        <w:rPr>
          <w:noProof/>
        </w:rPr>
        <w:t>(</w:t>
      </w:r>
      <w:r w:rsidR="00B54E1C" w:rsidRPr="00B54E1C">
        <w:rPr>
          <w:noProof/>
        </w:rPr>
        <w:t>2024)</w:t>
      </w:r>
      <w:r w:rsidR="00B54E1C">
        <w:fldChar w:fldCharType="end"/>
      </w:r>
      <w:r w:rsidRPr="003F788C">
        <w:t xml:space="preserve"> menemukan bahwa </w:t>
      </w:r>
      <w:r w:rsidRPr="003F788C">
        <w:rPr>
          <w:i/>
          <w:iCs/>
        </w:rPr>
        <w:t>audit</w:t>
      </w:r>
      <w:r w:rsidRPr="003F788C">
        <w:t xml:space="preserve"> </w:t>
      </w:r>
      <w:r w:rsidRPr="003F788C">
        <w:rPr>
          <w:i/>
          <w:iCs/>
        </w:rPr>
        <w:t>tenure</w:t>
      </w:r>
      <w:r w:rsidRPr="003F788C">
        <w:t xml:space="preserve"> berpengaruh negatif terhadap penghindaran pajak, sementara variabel lainnya tidak signifikan. Perbedaan temuan tersebut menunjukkan adanya </w:t>
      </w:r>
      <w:r w:rsidRPr="003F788C">
        <w:rPr>
          <w:i/>
          <w:iCs/>
        </w:rPr>
        <w:t>research gap</w:t>
      </w:r>
      <w:r w:rsidRPr="003F788C">
        <w:t xml:space="preserve"> yang masih perlu dikaji lebih lanjut. Selain itu, sebagian besar penelitian sebelumnya lebih berfokus pada </w:t>
      </w:r>
      <w:r w:rsidRPr="003F788C">
        <w:rPr>
          <w:i/>
          <w:iCs/>
        </w:rPr>
        <w:t>tax avoidance</w:t>
      </w:r>
      <w:r w:rsidRPr="003F788C">
        <w:t xml:space="preserve"> yang bersifat legal, sedangkan penelitian yang secara khusus mengkaji </w:t>
      </w:r>
      <w:r w:rsidRPr="003F788C">
        <w:rPr>
          <w:i/>
          <w:iCs/>
        </w:rPr>
        <w:t>tax evasion</w:t>
      </w:r>
      <w:r w:rsidRPr="003F788C">
        <w:t xml:space="preserve"> sebagai tindakan ilegal masih relatif terbatas.</w:t>
      </w:r>
    </w:p>
    <w:p w14:paraId="0E479C99" w14:textId="24FB7BD5" w:rsidR="007B3B70" w:rsidRPr="003F788C" w:rsidRDefault="003F788C" w:rsidP="00924415">
      <w:pPr>
        <w:spacing w:after="360"/>
        <w:ind w:firstLine="720"/>
        <w:jc w:val="both"/>
      </w:pPr>
      <w:r w:rsidRPr="003F788C">
        <w:t xml:space="preserve">Berdasarkan hal tersebut, penelitian ini bertujuan untuk menganalisis pengaruh spesialisasi industri auditor, </w:t>
      </w:r>
      <w:r w:rsidRPr="003F788C">
        <w:rPr>
          <w:i/>
          <w:iCs/>
        </w:rPr>
        <w:t>audit</w:t>
      </w:r>
      <w:r w:rsidRPr="003F788C">
        <w:t xml:space="preserve"> </w:t>
      </w:r>
      <w:r w:rsidRPr="003F788C">
        <w:rPr>
          <w:i/>
          <w:iCs/>
        </w:rPr>
        <w:t>fee</w:t>
      </w:r>
      <w:r w:rsidRPr="003F788C">
        <w:t xml:space="preserve">, dan </w:t>
      </w:r>
      <w:r w:rsidRPr="003F788C">
        <w:rPr>
          <w:i/>
          <w:iCs/>
        </w:rPr>
        <w:t>audit</w:t>
      </w:r>
      <w:r w:rsidRPr="003F788C">
        <w:t xml:space="preserve"> </w:t>
      </w:r>
      <w:r w:rsidRPr="003F788C">
        <w:rPr>
          <w:i/>
          <w:iCs/>
        </w:rPr>
        <w:t>tenure</w:t>
      </w:r>
      <w:r w:rsidRPr="003F788C">
        <w:t xml:space="preserve"> terhadap </w:t>
      </w:r>
      <w:r w:rsidRPr="003F788C">
        <w:rPr>
          <w:i/>
          <w:iCs/>
        </w:rPr>
        <w:t>tax</w:t>
      </w:r>
      <w:r w:rsidRPr="003F788C">
        <w:t xml:space="preserve"> </w:t>
      </w:r>
      <w:r w:rsidRPr="003F788C">
        <w:rPr>
          <w:i/>
          <w:iCs/>
        </w:rPr>
        <w:t>evasion</w:t>
      </w:r>
      <w:r w:rsidRPr="003F788C">
        <w:t>. Penelitian ini difokuskan pada perusahaan sektor energi yang terdaftar di Bursa Efek Indonesia karena sektor ini memiliki kontribusi ekonomi yang signifikan serta karakteristik transaksi yang kompleks, termasuk transaksi lintas negara, yang berpotensi meningkatkan risiko praktik penghindaran maupun penggelapan pajak. Periode penelitian dibatasi pada tahun 2022–2024 untuk memperoleh gambaran kondisi terbaru perusahaan setelah pemulihan ekonomi pascapandemi serta memastikan ketersediaan dan konsistensi data penelitian.</w:t>
      </w:r>
    </w:p>
    <w:p w14:paraId="481EA724" w14:textId="77777777" w:rsidR="007B3B70" w:rsidRPr="0044421A" w:rsidRDefault="007B3B70" w:rsidP="00C01985">
      <w:pPr>
        <w:pStyle w:val="Heading1"/>
        <w:spacing w:line="240" w:lineRule="auto"/>
        <w:jc w:val="both"/>
        <w:rPr>
          <w:lang w:val="id-ID"/>
        </w:rPr>
      </w:pPr>
      <w:r w:rsidRPr="0044421A">
        <w:rPr>
          <w:lang w:val="id-ID"/>
        </w:rPr>
        <w:t>KERANGKA PEMIKIRAN TEORITIS DAN PERUMUSAN HIPOTESIS</w:t>
      </w:r>
    </w:p>
    <w:p w14:paraId="5AFEF84D" w14:textId="29B43E69" w:rsidR="007B3B70" w:rsidRDefault="005924FD" w:rsidP="005924FD">
      <w:pPr>
        <w:jc w:val="both"/>
        <w:rPr>
          <w:b/>
          <w:bCs/>
        </w:rPr>
      </w:pPr>
      <w:r>
        <w:rPr>
          <w:b/>
          <w:bCs/>
        </w:rPr>
        <w:t>Teori Agensi</w:t>
      </w:r>
    </w:p>
    <w:p w14:paraId="582334AC" w14:textId="5D01D2D5" w:rsidR="00593653" w:rsidRDefault="00344C85" w:rsidP="00C87516">
      <w:pPr>
        <w:spacing w:after="240"/>
        <w:ind w:firstLine="709"/>
        <w:jc w:val="both"/>
      </w:pPr>
      <w:r w:rsidRPr="009E52C2">
        <w:t xml:space="preserve">Teori </w:t>
      </w:r>
      <w:r>
        <w:t>agensi</w:t>
      </w:r>
      <w:r w:rsidRPr="009E52C2">
        <w:t xml:space="preserve"> (</w:t>
      </w:r>
      <w:r w:rsidRPr="009E52C2">
        <w:rPr>
          <w:i/>
        </w:rPr>
        <w:t>agency theory</w:t>
      </w:r>
      <w:r w:rsidRPr="009E52C2">
        <w:t xml:space="preserve">) pertama kali </w:t>
      </w:r>
      <w:r>
        <w:t>dikemukakan</w:t>
      </w:r>
      <w:r w:rsidRPr="009E52C2">
        <w:t xml:space="preserve"> oleh </w:t>
      </w:r>
      <w:r w:rsidRPr="009E52C2">
        <w:fldChar w:fldCharType="begin" w:fldLock="1"/>
      </w:r>
      <w:r w:rsidRPr="009E52C2">
        <w:instrText>ADDIN CSL_CITATION {"citationItems":[{"id":"ITEM-1","itemData":{"DOI":"10.1016/0304-405X(76)90026-X","ISSN":"0304-405X","abstract":"This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these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 Adam Smith, The Wealth of Nations, 1776, Cannan Edition. (Modern Library, New York, 1937) p. 700. © 1976.","author":[{"dropping-particle":"","family":"Jensen","given":"Michael C.","non-dropping-particle":"","parse-names":false,"suffix":""},{"dropping-particle":"","family":"Meckling","given":"William H.","non-dropping-particle":"","parse-names":false,"suffix":""}],"container-title":"Journal of Financial Economics","id":"ITEM-1","issue":"4","issued":{"date-parts":[["1976","10","1"]]},"page":"305-360","publisher":"North-Holland","title":"Theory of the firm: Managerial behavior, agency costs and ownership structure","type":"article-journal","volume":"3"},"uris":["http://www.mendeley.com/documents/?uuid=840bf7d4-8869-3066-9893-9344a3312e78"]}],"mendeley":{"formattedCitation":"(Jensen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sidRPr="009E52C2">
        <w:fldChar w:fldCharType="separate"/>
      </w:r>
      <w:r w:rsidRPr="009E52C2">
        <w:rPr>
          <w:noProof/>
        </w:rPr>
        <w:t>Jensen &amp; Meckling (1976)</w:t>
      </w:r>
      <w:r w:rsidRPr="009E52C2">
        <w:fldChar w:fldCharType="end"/>
      </w:r>
      <w:r w:rsidRPr="009E52C2">
        <w:t xml:space="preserve"> yang </w:t>
      </w:r>
      <w:r>
        <w:t>menguraikan</w:t>
      </w:r>
      <w:r w:rsidRPr="009E52C2">
        <w:t xml:space="preserve"> hubungan antara prinsipal (pemilik) dan agen (manajer) dalam </w:t>
      </w:r>
      <w:r>
        <w:t>proses</w:t>
      </w:r>
      <w:r w:rsidRPr="009E52C2">
        <w:t xml:space="preserve"> pengambilan keputusan. Dalam hubungan ini, agen</w:t>
      </w:r>
      <w:r>
        <w:t xml:space="preserve"> diberikan wewenang oleh prinsipal</w:t>
      </w:r>
      <w:r w:rsidRPr="009E52C2">
        <w:t xml:space="preserve"> untuk mengelola sumber daya dan mengambil keputusan atas nama mereka. Namun, terdapat </w:t>
      </w:r>
      <w:r>
        <w:t>kemungkinan</w:t>
      </w:r>
      <w:r w:rsidRPr="009E52C2">
        <w:t xml:space="preserve"> terjadinya konflik kepentingan antara prin</w:t>
      </w:r>
      <w:r>
        <w:t>s</w:t>
      </w:r>
      <w:r w:rsidRPr="009E52C2">
        <w:t xml:space="preserve">ipal dan agen, karena masing-masing </w:t>
      </w:r>
      <w:r>
        <w:t xml:space="preserve">pihak </w:t>
      </w:r>
      <w:r w:rsidRPr="009E52C2">
        <w:t>memiliki tujuan yang berbeda.</w:t>
      </w:r>
      <w:r w:rsidR="005448C3">
        <w:t xml:space="preserve"> </w:t>
      </w:r>
      <w:r w:rsidR="00593653" w:rsidRPr="00593653">
        <w:t xml:space="preserve">Prinsipal mengharapkan manajer dapat memaksimalkan nilai perusahaan sekaligus memastikan kepatuhan terhadap berbagai regulasi, termasuk regulasi perpajakan. Sebaliknya, manajer seringkali memiliki insentif pribadi seperti bonus, kompensasi berbasis laba, maupun pencapaian target kinerja jangka pendek yang dapat mendorong perilaku oportunistik. Kondisi ini berpotensi memicu praktik </w:t>
      </w:r>
      <w:r w:rsidR="00593653" w:rsidRPr="000F51E5">
        <w:rPr>
          <w:i/>
          <w:iCs/>
        </w:rPr>
        <w:t>tax evasion</w:t>
      </w:r>
      <w:r w:rsidR="00593653" w:rsidRPr="00593653">
        <w:t xml:space="preserve"> yang dilakukan untuk menekan beban pajak perusahaan.</w:t>
      </w:r>
      <w:r w:rsidR="00593653">
        <w:t xml:space="preserve"> </w:t>
      </w:r>
      <w:r w:rsidR="000F51E5" w:rsidRPr="000F51E5">
        <w:t xml:space="preserve">Dalam perspektif teori agensi, </w:t>
      </w:r>
      <w:r w:rsidR="000F51E5" w:rsidRPr="000F51E5">
        <w:rPr>
          <w:i/>
          <w:iCs/>
        </w:rPr>
        <w:t>tax evasion</w:t>
      </w:r>
      <w:r w:rsidR="000F51E5" w:rsidRPr="000F51E5">
        <w:t xml:space="preserve"> dapat terjadi ketika manajer memanfaatkan asimetri informasi dengan menyembunyikan atau memanipulasi informasi yang berkaitan dengan </w:t>
      </w:r>
      <w:r w:rsidR="000F51E5" w:rsidRPr="000F51E5">
        <w:lastRenderedPageBreak/>
        <w:t xml:space="preserve">kewajiban perpajakan, misalnya melalui manipulasi laporan keuangan, pengurangan pendapatan kena pajak, atau pembesaran biaya. </w:t>
      </w:r>
      <w:r w:rsidR="000F51E5" w:rsidRPr="009E52C2">
        <w:t>Tindakan ini dapat merugikan perusahaan karena berpotensi menimbulkan risiko sanksi hukum, penurunan reputasi, serta turunnya kepercayaan investor dan pemangku kepentingan lainnya.</w:t>
      </w:r>
      <w:r w:rsidR="000F51E5">
        <w:t xml:space="preserve"> </w:t>
      </w:r>
      <w:r w:rsidR="000F51E5" w:rsidRPr="000F51E5">
        <w:t xml:space="preserve">Untuk meminimalkan konflik keagenan tersebut, diperlukan mekanisme pengawasan yang efektif, salah satunya melalui peran auditor eksternal. Auditor independen bertugas menilai kewajaran laporan keuangan serta mendeteksi kemungkinan adanya penyimpangan, termasuk indikasi praktik </w:t>
      </w:r>
      <w:r w:rsidR="000F51E5" w:rsidRPr="00F91D99">
        <w:rPr>
          <w:i/>
          <w:iCs/>
        </w:rPr>
        <w:t>tax</w:t>
      </w:r>
      <w:r w:rsidR="000F51E5" w:rsidRPr="000F51E5">
        <w:t xml:space="preserve"> </w:t>
      </w:r>
      <w:r w:rsidR="000F51E5" w:rsidRPr="00F91D99">
        <w:rPr>
          <w:i/>
          <w:iCs/>
        </w:rPr>
        <w:t>evasion</w:t>
      </w:r>
      <w:r w:rsidR="000F51E5" w:rsidRPr="000F51E5">
        <w:t xml:space="preserve">. Oleh karena itu, auditor tidak hanya berperan dalam memberikan opini atas laporan keuangan, tetapi juga sebagai mekanisme </w:t>
      </w:r>
      <w:r w:rsidR="000F51E5" w:rsidRPr="00F91D99">
        <w:rPr>
          <w:i/>
          <w:iCs/>
        </w:rPr>
        <w:t>monitoring</w:t>
      </w:r>
      <w:r w:rsidR="000F51E5" w:rsidRPr="000F51E5">
        <w:t xml:space="preserve"> yang membantu melindungi kepentingan prinsipal serta meningkatkan kepatuhan perusahaan terhadap regulasi perpajakan.</w:t>
      </w:r>
    </w:p>
    <w:p w14:paraId="167FF048" w14:textId="0BB1E39E" w:rsidR="000F51E5" w:rsidRDefault="000F51E5" w:rsidP="00593653">
      <w:pPr>
        <w:jc w:val="both"/>
        <w:rPr>
          <w:b/>
          <w:bCs/>
        </w:rPr>
      </w:pPr>
      <w:r>
        <w:rPr>
          <w:b/>
          <w:bCs/>
        </w:rPr>
        <w:t>Perumusan Hipotesis</w:t>
      </w:r>
    </w:p>
    <w:p w14:paraId="3BAE57A7" w14:textId="191D52EF" w:rsidR="000F51E5" w:rsidRDefault="00924415" w:rsidP="00593653">
      <w:pPr>
        <w:jc w:val="both"/>
        <w:rPr>
          <w:b/>
          <w:bCs/>
          <w:i/>
          <w:iCs/>
        </w:rPr>
      </w:pPr>
      <w:r w:rsidRPr="00924415">
        <w:rPr>
          <w:b/>
          <w:bCs/>
        </w:rPr>
        <w:t>Spesialisasi</w:t>
      </w:r>
      <w:r>
        <w:rPr>
          <w:b/>
          <w:bCs/>
        </w:rPr>
        <w:t xml:space="preserve"> Industri Auditor terhadap </w:t>
      </w:r>
      <w:r>
        <w:rPr>
          <w:b/>
          <w:bCs/>
          <w:i/>
          <w:iCs/>
        </w:rPr>
        <w:t>Tax Evasion</w:t>
      </w:r>
    </w:p>
    <w:p w14:paraId="3C9D3D99" w14:textId="44E116D0" w:rsidR="00924415" w:rsidRDefault="0061119A" w:rsidP="00B54E1C">
      <w:pPr>
        <w:ind w:firstLine="709"/>
        <w:jc w:val="both"/>
        <w:rPr>
          <w:color w:val="000000"/>
        </w:rPr>
      </w:pPr>
      <w:r w:rsidRPr="0061119A">
        <w:t>Spesialisasi industri auditor mengacu pada tingkat pengetahuan dan keahlian auditor dalam menangani klien pada industri tertentu, sehingga auditor memiliki pemahaman yang lebih mendalam mengenai karakteristik bisnis, risiko operasional, serta praktik akuntansi yang berlaku dalam industri tersebut.</w:t>
      </w:r>
      <w:r>
        <w:t xml:space="preserve"> </w:t>
      </w:r>
      <w:r w:rsidRPr="009E52C2">
        <w:rPr>
          <w:color w:val="000000"/>
        </w:rPr>
        <w:t xml:space="preserve">Berdasarkan perspektif teori keagenan, keberadaan auditor spesialis dapat memperkecil </w:t>
      </w:r>
      <w:r>
        <w:rPr>
          <w:color w:val="000000"/>
        </w:rPr>
        <w:t>ketidaksamaan</w:t>
      </w:r>
      <w:r w:rsidRPr="009E52C2">
        <w:rPr>
          <w:color w:val="000000"/>
        </w:rPr>
        <w:t xml:space="preserve"> informasi antara manajemen (agen) dengan pemilik (prinsipal)</w:t>
      </w:r>
      <w:r>
        <w:rPr>
          <w:color w:val="000000"/>
        </w:rPr>
        <w:t xml:space="preserve">, </w:t>
      </w:r>
      <w:r w:rsidRPr="0061119A">
        <w:rPr>
          <w:color w:val="000000"/>
        </w:rPr>
        <w:t xml:space="preserve">sehingga memperkuat fungsi auditor sebagai mekanisme monitoring eksternal. Auditor dengan keahlian industri juga dinilai lebih mampu mengevaluasi kebijakan perpajakan perusahaan serta membedakan strategi pajak yang masih berada dalam ranah legal seperti </w:t>
      </w:r>
      <w:r w:rsidRPr="0061119A">
        <w:rPr>
          <w:i/>
          <w:iCs/>
          <w:color w:val="000000"/>
        </w:rPr>
        <w:t>tax avoidance</w:t>
      </w:r>
      <w:r w:rsidRPr="0061119A">
        <w:rPr>
          <w:color w:val="000000"/>
        </w:rPr>
        <w:t xml:space="preserve"> dengan praktik ilegal seperti </w:t>
      </w:r>
      <w:r w:rsidRPr="0061119A">
        <w:rPr>
          <w:i/>
          <w:iCs/>
          <w:color w:val="000000"/>
        </w:rPr>
        <w:t>tax evasion</w:t>
      </w:r>
      <w:r w:rsidRPr="0061119A">
        <w:rPr>
          <w:color w:val="000000"/>
        </w:rPr>
        <w:t>.</w:t>
      </w:r>
      <w:r>
        <w:rPr>
          <w:color w:val="000000"/>
        </w:rPr>
        <w:t xml:space="preserve"> </w:t>
      </w:r>
      <w:r w:rsidRPr="0061119A">
        <w:rPr>
          <w:color w:val="000000"/>
        </w:rPr>
        <w:t>Sejumlah penelitian empiris mendukung hubungan tersebut, di antaranya p</w:t>
      </w:r>
      <w:r w:rsidRPr="009E52C2">
        <w:t xml:space="preserve">enelitian </w:t>
      </w:r>
      <w:r>
        <w:rPr>
          <w:color w:val="000000"/>
        </w:rPr>
        <w:fldChar w:fldCharType="begin" w:fldLock="1"/>
      </w:r>
      <w:r w:rsidR="00B54E1C">
        <w:rPr>
          <w:color w:val="000000"/>
        </w:rPr>
        <w:instrText>ADDIN CSL_CITATION {"citationItems":[{"id":"ITEM-1","itemData":{"DOI":"10.47743/saeb-2021-0002","ISSN":"25013165","abstract":"The purpose of this paper is to investigate the relation between audit characteristics and corporate tax avoidance and how board gender diversity (BGDs) moderates this relationship. Using a sample of 270 UK firms over the 2005-2017 period, we find that audit characteristics influence the corporate tax avoidance. Two of them (specialization and audit fees) had a negative effect; the other one (audit opinion, audit rotation) Have a positive effect on tax avoidance. We also find that BGDs moderates the effect of audit characteristics on corporate tax avoidance, except for audit opinion. The impact of the BGDs’ level increases as the presence of woman in the board escalated from 40 to 60 %, but then weakened at 10 % level. This study contributes to the existing literature and auditing practices by extending the auditing and tax literature on the examination of the moderating effect of board gender diversity on the relation between audit characteristics and corporate tax avoidance using the sensitivity analysis.","author":[{"dropping-particle":"","family":"Riguen","given":"Rakia","non-dropping-particle":"","parse-names":false,"suffix":""},{"dropping-particle":"","family":"Salhi","given":"Bassem","non-dropping-particle":"","parse-names":false,"suffix":""},{"dropping-particle":"","family":"Jarboui","given":"Anis","non-dropping-particle":"","parse-names":false,"suffix":""}],"container-title":"Scientific Annals of Economics and Business","id":"ITEM-1","issue":"1","issued":{"date-parts":[["2021"]]},"page":"97-114","title":"The Impact of Audit Characteristics on Corporate Tax Avoidance: The Moderating Role of Gender Diversity","type":"article-journal","volume":"68"},"uris":["http://www.mendeley.com/documents/?uuid=0460e634-d194-49b2-87fb-55c14a2f83da"]}],"mendeley":{"formattedCitation":"(Riguen et al., 2021)","manualFormatting":"Riguen et al. (2021)","plainTextFormattedCitation":"(Riguen et al., 2021)","previouslyFormattedCitation":"(Riguen et al., 2021)"},"properties":{"noteIndex":0},"schema":"https://github.com/citation-style-language/schema/raw/master/csl-citation.json"}</w:instrText>
      </w:r>
      <w:r>
        <w:rPr>
          <w:color w:val="000000"/>
        </w:rPr>
        <w:fldChar w:fldCharType="separate"/>
      </w:r>
      <w:r w:rsidRPr="0061119A">
        <w:rPr>
          <w:noProof/>
          <w:color w:val="000000"/>
        </w:rPr>
        <w:t xml:space="preserve">Riguen </w:t>
      </w:r>
      <w:r w:rsidRPr="0061119A">
        <w:rPr>
          <w:i/>
          <w:iCs/>
          <w:noProof/>
          <w:color w:val="000000"/>
        </w:rPr>
        <w:t>et al</w:t>
      </w:r>
      <w:r w:rsidRPr="0061119A">
        <w:rPr>
          <w:noProof/>
          <w:color w:val="000000"/>
        </w:rPr>
        <w:t xml:space="preserve">. </w:t>
      </w:r>
      <w:r>
        <w:rPr>
          <w:noProof/>
          <w:color w:val="000000"/>
        </w:rPr>
        <w:t>(</w:t>
      </w:r>
      <w:r w:rsidRPr="0061119A">
        <w:rPr>
          <w:noProof/>
          <w:color w:val="000000"/>
        </w:rPr>
        <w:t>2021)</w:t>
      </w:r>
      <w:r>
        <w:rPr>
          <w:color w:val="000000"/>
        </w:rPr>
        <w:fldChar w:fldCharType="end"/>
      </w:r>
      <w:r w:rsidRPr="0061119A">
        <w:rPr>
          <w:color w:val="000000"/>
        </w:rPr>
        <w:t xml:space="preserve"> yang menyatakan bahwa auditor dengan keahlian khusus dalam industri tertentu lebih memahami struktur bisnis klien sehingga mampu meningkatkan kualitas audit dan mendeteksi manipulasi laporan keuangan, serta penelitian </w:t>
      </w:r>
      <w:r w:rsidR="00B54E1C">
        <w:rPr>
          <w:color w:val="000000"/>
        </w:rPr>
        <w:fldChar w:fldCharType="begin" w:fldLock="1"/>
      </w:r>
      <w:r w:rsidR="00B54E1C">
        <w:rPr>
          <w:color w:val="000000"/>
        </w:rPr>
        <w:instrText>ADDIN CSL_CITATION {"citationItems":[{"id":"ITEM-1","itemData":{"DOI":"10.1016/J.INTACCAUDTAX.2021.100380","ISSN":"1061-9518","abstract":"Most governments attempt to fight and reduce tax evasion. A dilemma arises about whether policies should encourage the ethical behavior of firms (an informal institution) or strengthen auditing standards (a formal institution). In this study, we provide novel worldwide evidence on the effects of these two factors on tax evasion. Overall, even though strong auditing standards may mitigate tax evasion, the ethical behavior of firms has a statistically more robust effect in achieving this goal; these results hold after we control for endogeneity and different subperiods (before, during, and after the recent global financial crisis). More specifically, the ethical behavior of firms is effective for low- and middle-income countries with low and high levels of investor protection and low-efficacy corporate boards; however, ethical behavior and auditing standards are mutually effective for high-income countries and countries with middle level investor protection and middle- and high-efficacy corporate boards. Thus, this study provides useful insights for organizations and policy makers.","author":[{"dropping-particle":"","family":"Benkraiem","given":"Ramzi","non-dropping-particle":"","parse-names":false,"suffix":""},{"dropping-particle":"","family":"Uyar","given":"Ali","non-dropping-particle":"","parse-names":false,"suffix":""},{"dropping-particle":"","family":"Kilic","given":"Merve","non-dropping-particle":"","parse-names":false,"suffix":""},{"dropping-particle":"","family":"Schneider","given":"Friedrich","non-dropping-particle":"","parse-names":false,"suffix":""}],"container-title":"Journal of International Accounting, Auditing and Taxation","id":"ITEM-1","issued":{"date-parts":[["2021","6","1"]]},"page":"100380","publisher":"JAI","title":"Ethical behavior, auditing strength, and tax evasion: A worldwide perspective","type":"article-journal","volume":"43"},"uris":["http://www.mendeley.com/documents/?uuid=26e5e7c4-b5ae-3746-bd21-d393982e5f59"]}],"mendeley":{"formattedCitation":"(Benkraiem et al., 2021)","manualFormatting":"Benkraiem et al. (2021)","plainTextFormattedCitation":"(Benkraiem et al., 2021)","previouslyFormattedCitation":"(Benkraiem et al., 2021)"},"properties":{"noteIndex":0},"schema":"https://github.com/citation-style-language/schema/raw/master/csl-citation.json"}</w:instrText>
      </w:r>
      <w:r w:rsidR="00B54E1C">
        <w:rPr>
          <w:color w:val="000000"/>
        </w:rPr>
        <w:fldChar w:fldCharType="separate"/>
      </w:r>
      <w:r w:rsidR="00B54E1C" w:rsidRPr="00B54E1C">
        <w:rPr>
          <w:noProof/>
          <w:color w:val="000000"/>
        </w:rPr>
        <w:t xml:space="preserve">Benkraiem </w:t>
      </w:r>
      <w:r w:rsidR="00B54E1C" w:rsidRPr="00B54E1C">
        <w:rPr>
          <w:i/>
          <w:iCs/>
          <w:noProof/>
          <w:color w:val="000000"/>
        </w:rPr>
        <w:t>et al</w:t>
      </w:r>
      <w:r w:rsidR="00B54E1C" w:rsidRPr="00B54E1C">
        <w:rPr>
          <w:noProof/>
          <w:color w:val="000000"/>
        </w:rPr>
        <w:t xml:space="preserve">. </w:t>
      </w:r>
      <w:r w:rsidR="00B54E1C">
        <w:rPr>
          <w:noProof/>
          <w:color w:val="000000"/>
        </w:rPr>
        <w:t>(</w:t>
      </w:r>
      <w:r w:rsidR="00B54E1C" w:rsidRPr="00B54E1C">
        <w:rPr>
          <w:noProof/>
          <w:color w:val="000000"/>
        </w:rPr>
        <w:t>2021)</w:t>
      </w:r>
      <w:r w:rsidR="00B54E1C">
        <w:rPr>
          <w:color w:val="000000"/>
        </w:rPr>
        <w:fldChar w:fldCharType="end"/>
      </w:r>
      <w:r w:rsidRPr="0061119A">
        <w:rPr>
          <w:color w:val="000000"/>
        </w:rPr>
        <w:t xml:space="preserve"> yang menegaskan bahwa penguatan standar audit berperan penting dalam menekan praktik </w:t>
      </w:r>
      <w:r w:rsidRPr="00B54E1C">
        <w:rPr>
          <w:i/>
          <w:iCs/>
          <w:color w:val="000000"/>
        </w:rPr>
        <w:t>tax evasion</w:t>
      </w:r>
      <w:r w:rsidRPr="0061119A">
        <w:rPr>
          <w:color w:val="000000"/>
        </w:rPr>
        <w:t>. Berdasarkan argumen teoritis dan bukti empiris tersebut, dapat diasumsikan bahwa auditor dengan spesialisasi industri memiliki kemampuan yang lebih baik dalam mendeteksi kesalahan maupun manipulasi yang dilakukan oleh manajemen</w:t>
      </w:r>
      <w:r w:rsidR="00C87516">
        <w:rPr>
          <w:color w:val="000000"/>
        </w:rPr>
        <w:t>.</w:t>
      </w:r>
    </w:p>
    <w:p w14:paraId="279DE77A" w14:textId="4B2227A9" w:rsidR="00C87516" w:rsidRPr="00924415" w:rsidRDefault="00C87516" w:rsidP="00C87516">
      <w:pPr>
        <w:spacing w:after="240"/>
        <w:jc w:val="both"/>
      </w:pPr>
      <w:r w:rsidRPr="009E52C2">
        <w:rPr>
          <w:b/>
          <w:color w:val="000000"/>
        </w:rPr>
        <w:t xml:space="preserve">H1: Spesialisasi industri auditor berpengaruh negatif terhadap </w:t>
      </w:r>
      <w:r w:rsidRPr="009E52C2">
        <w:rPr>
          <w:b/>
          <w:bCs/>
          <w:i/>
          <w:iCs/>
          <w:color w:val="000000"/>
        </w:rPr>
        <w:t>tax evasion</w:t>
      </w:r>
      <w:r w:rsidRPr="009E52C2">
        <w:rPr>
          <w:b/>
          <w:color w:val="000000"/>
        </w:rPr>
        <w:t>.</w:t>
      </w:r>
    </w:p>
    <w:p w14:paraId="3A6D4FC0" w14:textId="4F0C6E97" w:rsidR="00924415" w:rsidRDefault="00924415" w:rsidP="00593653">
      <w:pPr>
        <w:jc w:val="both"/>
        <w:rPr>
          <w:b/>
          <w:bCs/>
          <w:i/>
          <w:iCs/>
        </w:rPr>
      </w:pPr>
      <w:r>
        <w:rPr>
          <w:b/>
          <w:bCs/>
          <w:i/>
          <w:iCs/>
        </w:rPr>
        <w:t>Audit Fee</w:t>
      </w:r>
      <w:r>
        <w:rPr>
          <w:b/>
          <w:bCs/>
        </w:rPr>
        <w:t xml:space="preserve"> terhadap </w:t>
      </w:r>
      <w:r>
        <w:rPr>
          <w:b/>
          <w:bCs/>
          <w:i/>
          <w:iCs/>
        </w:rPr>
        <w:t>Tax Evasion</w:t>
      </w:r>
    </w:p>
    <w:p w14:paraId="3FBDA9E5" w14:textId="0342B607" w:rsidR="00C87516" w:rsidRDefault="00C87516" w:rsidP="00B54E1C">
      <w:pPr>
        <w:ind w:firstLine="709"/>
        <w:jc w:val="both"/>
        <w:rPr>
          <w:color w:val="000000"/>
        </w:rPr>
      </w:pPr>
      <w:r>
        <w:t xml:space="preserve">Secara ideal, </w:t>
      </w:r>
      <w:r w:rsidRPr="00C87516">
        <w:rPr>
          <w:i/>
          <w:iCs/>
        </w:rPr>
        <w:t>audit fee</w:t>
      </w:r>
      <w:r>
        <w:t xml:space="preserve"> yang lebih tinggi dapat mengindikasikan audit yang lebih kompleks dan mendalam, yang seharusnya meningkatkan kualitas audit dan kemampuan auditor dalam memberikan hasil audit yang berkualitas. Berdasarkan teori keagenan, manajemen memiliki insentif untuk menekan beban pajak agar laba bersih lebih tinggi, sementara auditor diharapkan dapat menjaga kualitas pelaporan keuangan agar tetap transparan dan wajar. Perusahaan yang membayar </w:t>
      </w:r>
      <w:r w:rsidRPr="00C87516">
        <w:rPr>
          <w:i/>
          <w:iCs/>
        </w:rPr>
        <w:t>audit fee</w:t>
      </w:r>
      <w:r>
        <w:t xml:space="preserve"> lebih tinggi cenderung memperoleh kualitas audit yang lebih baik karena auditor memiliki sumber daya lebih untuk melakukan prosedur audit yang ketat. </w:t>
      </w:r>
      <w:r w:rsidRPr="009E52C2">
        <w:rPr>
          <w:color w:val="000000"/>
        </w:rPr>
        <w:t xml:space="preserve">Terdapat </w:t>
      </w:r>
      <w:r>
        <w:rPr>
          <w:color w:val="000000"/>
        </w:rPr>
        <w:t>b</w:t>
      </w:r>
      <w:r w:rsidRPr="009E52C2">
        <w:rPr>
          <w:color w:val="000000"/>
        </w:rPr>
        <w:t xml:space="preserve">eberapa temuan empiris mengenai hubungan antara </w:t>
      </w:r>
      <w:r w:rsidRPr="009E52C2">
        <w:rPr>
          <w:i/>
          <w:iCs/>
          <w:color w:val="000000"/>
        </w:rPr>
        <w:t>audit fee</w:t>
      </w:r>
      <w:r w:rsidRPr="009E52C2">
        <w:rPr>
          <w:color w:val="000000"/>
        </w:rPr>
        <w:t xml:space="preserve"> dan </w:t>
      </w:r>
      <w:r w:rsidRPr="009E52C2">
        <w:rPr>
          <w:i/>
          <w:iCs/>
          <w:color w:val="000000"/>
        </w:rPr>
        <w:t>tax evasion</w:t>
      </w:r>
      <w:r w:rsidRPr="009E52C2">
        <w:rPr>
          <w:color w:val="000000"/>
        </w:rPr>
        <w:t xml:space="preserve">. Hasil penelitian </w:t>
      </w:r>
      <w:r w:rsidR="00B54E1C">
        <w:rPr>
          <w:color w:val="000000"/>
        </w:rPr>
        <w:fldChar w:fldCharType="begin" w:fldLock="1"/>
      </w:r>
      <w:r w:rsidR="00B54E1C">
        <w:rPr>
          <w:color w:val="000000"/>
        </w:rPr>
        <w:instrText>ADDIN CSL_CITATION {"citationItems":[{"id":"ITEM-1","itemData":{"DOI":"10.47743/saeb-2021-0002","ISSN":"25013165","abstract":"The purpose of this paper is to investigate the relation between audit characteristics and corporate tax avoidance and how board gender diversity (BGDs) moderates this relationship. Using a sample of 270 UK firms over the 2005-2017 period, we find that audit characteristics influence the corporate tax avoidance. Two of them (specialization and audit fees) had a negative effect; the other one (audit opinion, audit rotation) Have a positive effect on tax avoidance. We also find that BGDs moderates the effect of audit characteristics on corporate tax avoidance, except for audit opinion. The impact of the BGDs’ level increases as the presence of woman in the board escalated from 40 to 60 %, but then weakened at 10 % level. This study contributes to the existing literature and auditing practices by extending the auditing and tax literature on the examination of the moderating effect of board gender diversity on the relation between audit characteristics and corporate tax avoidance using the sensitivity analysis.","author":[{"dropping-particle":"","family":"Riguen","given":"Rakia","non-dropping-particle":"","parse-names":false,"suffix":""},{"dropping-particle":"","family":"Salhi","given":"Bassem","non-dropping-particle":"","parse-names":false,"suffix":""},{"dropping-particle":"","family":"Jarboui","given":"Anis","non-dropping-particle":"","parse-names":false,"suffix":""}],"container-title":"Scientific Annals of Economics and Business","id":"ITEM-1","issue":"1","issued":{"date-parts":[["2021"]]},"page":"97-114","title":"The Impact of Audit Characteristics on Corporate Tax Avoidance: The Moderating Role of Gender Diversity","type":"article-journal","volume":"68"},"uris":["http://www.mendeley.com/documents/?uuid=0460e634-d194-49b2-87fb-55c14a2f83da"]}],"mendeley":{"formattedCitation":"(Riguen et al., 2021)","manualFormatting":"Riguen et al. (2021)","plainTextFormattedCitation":"(Riguen et al., 2021)","previouslyFormattedCitation":"(Riguen et al., 2021)"},"properties":{"noteIndex":0},"schema":"https://github.com/citation-style-language/schema/raw/master/csl-citation.json"}</w:instrText>
      </w:r>
      <w:r w:rsidR="00B54E1C">
        <w:rPr>
          <w:color w:val="000000"/>
        </w:rPr>
        <w:fldChar w:fldCharType="separate"/>
      </w:r>
      <w:r w:rsidR="00B54E1C" w:rsidRPr="0061119A">
        <w:rPr>
          <w:noProof/>
          <w:color w:val="000000"/>
        </w:rPr>
        <w:t xml:space="preserve">Riguen </w:t>
      </w:r>
      <w:r w:rsidR="00B54E1C" w:rsidRPr="0061119A">
        <w:rPr>
          <w:i/>
          <w:iCs/>
          <w:noProof/>
          <w:color w:val="000000"/>
        </w:rPr>
        <w:t>et al</w:t>
      </w:r>
      <w:r w:rsidR="00B54E1C" w:rsidRPr="0061119A">
        <w:rPr>
          <w:noProof/>
          <w:color w:val="000000"/>
        </w:rPr>
        <w:t xml:space="preserve">. </w:t>
      </w:r>
      <w:r w:rsidR="00B54E1C">
        <w:rPr>
          <w:noProof/>
          <w:color w:val="000000"/>
        </w:rPr>
        <w:t>(</w:t>
      </w:r>
      <w:r w:rsidR="00B54E1C" w:rsidRPr="0061119A">
        <w:rPr>
          <w:noProof/>
          <w:color w:val="000000"/>
        </w:rPr>
        <w:t>2021)</w:t>
      </w:r>
      <w:r w:rsidR="00B54E1C">
        <w:rPr>
          <w:color w:val="000000"/>
        </w:rPr>
        <w:fldChar w:fldCharType="end"/>
      </w:r>
      <w:r w:rsidRPr="009E52C2">
        <w:rPr>
          <w:color w:val="000000"/>
        </w:rPr>
        <w:t xml:space="preserve"> dan </w:t>
      </w:r>
      <w:r w:rsidR="00B54E1C">
        <w:rPr>
          <w:color w:val="000000"/>
        </w:rPr>
        <w:fldChar w:fldCharType="begin" w:fldLock="1"/>
      </w:r>
      <w:r w:rsidR="00AB3B09">
        <w:rPr>
          <w:color w:val="000000"/>
        </w:rPr>
        <w:instrText>ADDIN CSL_CITATION {"citationItems":[{"id":"ITEM-1","itemData":{"abstract":"Agresivitas pajak adalah tindakan agresif terhadap pajak untuk meminimalkan pembayaran pajak baik melalui penghindaran pajak (tax avoidance) maupun penggelapan pajak (tax evasion). Data penerimaan perpajakan di Indonesia menunjukkan badan usaha di Indonesia agresif terhadap pajak, dibuktikan dengan menurunnya persentase penerimaan pajak tahun 2011-2015. Tujuan penelitian ini adalah untuk mengetahui pengaruh ukuran KAP, audit fee, dan audit tenure pada agresivitas pajak dengan menggunakan firm size dan jenis perusahaan sebagai variabel kontrol. Kegunaan penelitian secara teoritis, dapat memberikan bukti secara empiris mengenai Theory of Planned Behavior dalam menjelaskan pengaruh ukuran KAP, audit fee, dan audit tenure pada kemungkinan manajemen perusahaan melakukan agresivitas pajak. Secara praktis dapat memberikan kontribusi pemikiran sebagai pertimbangan kepada dewan komisaris perusahaan dalam mengawasi tindakan manajemen perusahaan khususnya dalam hal perpajakan. Penelitian ini merupakan penelitian kuantitatif yang berbentuk asosiatif. Penelitian ini memakai (-GAAP ETR) untuk mengukur agresivitas pajak dan dilakukan di perusahaan yang terdaftar di Indeks Kompas 100 Bursa Efek Indonesia periode tahun 2013-2015. Metode pengumpulan data dalam penelitian ini menggunakan metode observasi non partisipan. Jumlah sampel yang digunakan adalah 26 perusahaan. Metode penentuan sampel yang digunakan adalah metode non probability dengan teknik purposive sampling. Data penelitian dianalisis dengan menggunakan regresi linier berganda. Berdasarkan hasil analisis, penelitian ini menunjukkan bahwa ukuran KAP berpengaruh positif dan signifikan pada agresivitas pajak, audit fee berpengaruh negatif dan signifikan pada agresivitas pajak, dan audit tenure tidak berpengaruh pada agresivitas pajak.","author":[{"dropping-particle":"","family":"Suyadnya","given":"I Gede","non-dropping-particle":"","parse-names":false,"suffix":""},{"dropping-particle":"","family":"Supadmi","given":"Ni Luh","non-dropping-particle":"","parse-names":false,"suffix":""}],"container-title":"E-Jurnal Akuntansi Universitas Udayana","id":"ITEM-1","issue":"1","issued":{"date-parts":[["2017"]]},"page":"1131-1159","title":"Pengaruh Ukuran KAP, Audit Fee, dan Audit Tenure pada Agresivitas Pajak (2017).pdf","type":"article-journal","volume":"21"},"uris":["http://www.mendeley.com/documents/?uuid=8afa7779-fa50-40df-90dd-349a54ce0a39"]}],"mendeley":{"formattedCitation":"(Suyadnya &amp; Supadmi, 2017)","manualFormatting":"Suyadnya &amp; Supadmi (2017)","plainTextFormattedCitation":"(Suyadnya &amp; Supadmi, 2017)","previouslyFormattedCitation":"(Suyadnya &amp; Supadmi, 2017)"},"properties":{"noteIndex":0},"schema":"https://github.com/citation-style-language/schema/raw/master/csl-citation.json"}</w:instrText>
      </w:r>
      <w:r w:rsidR="00B54E1C">
        <w:rPr>
          <w:color w:val="000000"/>
        </w:rPr>
        <w:fldChar w:fldCharType="separate"/>
      </w:r>
      <w:r w:rsidR="00B54E1C" w:rsidRPr="00B54E1C">
        <w:rPr>
          <w:noProof/>
          <w:color w:val="000000"/>
        </w:rPr>
        <w:t xml:space="preserve">Suyadnya &amp; Supadmi </w:t>
      </w:r>
      <w:r w:rsidR="00B54E1C">
        <w:rPr>
          <w:noProof/>
          <w:color w:val="000000"/>
        </w:rPr>
        <w:t>(</w:t>
      </w:r>
      <w:r w:rsidR="00B54E1C" w:rsidRPr="00B54E1C">
        <w:rPr>
          <w:noProof/>
          <w:color w:val="000000"/>
        </w:rPr>
        <w:t>2017)</w:t>
      </w:r>
      <w:r w:rsidR="00B54E1C">
        <w:rPr>
          <w:color w:val="000000"/>
        </w:rPr>
        <w:fldChar w:fldCharType="end"/>
      </w:r>
      <w:r w:rsidRPr="009E52C2">
        <w:rPr>
          <w:color w:val="000000"/>
        </w:rPr>
        <w:t xml:space="preserve"> menyatakan </w:t>
      </w:r>
      <w:r w:rsidRPr="009E52C2">
        <w:rPr>
          <w:i/>
          <w:iCs/>
          <w:color w:val="000000"/>
        </w:rPr>
        <w:t xml:space="preserve">audit fee </w:t>
      </w:r>
      <w:r w:rsidRPr="009E52C2">
        <w:t>berpengaruh negat</w:t>
      </w:r>
      <w:r>
        <w:t>i</w:t>
      </w:r>
      <w:r w:rsidRPr="009E52C2">
        <w:t xml:space="preserve">f terhadap penghindaran pajak karena semakin besar </w:t>
      </w:r>
      <w:r w:rsidRPr="009E52C2">
        <w:rPr>
          <w:i/>
          <w:iCs/>
        </w:rPr>
        <w:t>audit fee</w:t>
      </w:r>
      <w:r w:rsidRPr="009E52C2">
        <w:t xml:space="preserve"> yang diberikan, maka semakin meningkat kualitas audit yang dilakukan sehingga menyulitkan perusahaan untuk melakukan manipulasi penghindaran pajak</w:t>
      </w:r>
      <w:r w:rsidRPr="009E52C2">
        <w:rPr>
          <w:color w:val="000000"/>
        </w:rPr>
        <w:t>.</w:t>
      </w:r>
      <w:r>
        <w:rPr>
          <w:color w:val="000000"/>
        </w:rPr>
        <w:t xml:space="preserve"> </w:t>
      </w:r>
      <w:r w:rsidRPr="009E52C2">
        <w:rPr>
          <w:color w:val="000000"/>
        </w:rPr>
        <w:t xml:space="preserve">Dalam konteks penelitian ini, pemberian </w:t>
      </w:r>
      <w:r w:rsidRPr="009E52C2">
        <w:rPr>
          <w:i/>
          <w:color w:val="000000"/>
        </w:rPr>
        <w:t>audit fee</w:t>
      </w:r>
      <w:r w:rsidRPr="009E52C2">
        <w:rPr>
          <w:color w:val="000000"/>
        </w:rPr>
        <w:t xml:space="preserve"> yang tinggi kepada a</w:t>
      </w:r>
      <w:r w:rsidRPr="009E52C2">
        <w:t xml:space="preserve">uditor dapat meningkatkan kualitas audit yang sangat dibutuhkan oleh perusahaan dalam menemukan praktik </w:t>
      </w:r>
      <w:r w:rsidRPr="009E52C2">
        <w:rPr>
          <w:i/>
          <w:iCs/>
        </w:rPr>
        <w:t>tax evasion</w:t>
      </w:r>
      <w:r w:rsidRPr="009E52C2">
        <w:rPr>
          <w:i/>
        </w:rPr>
        <w:t>.</w:t>
      </w:r>
    </w:p>
    <w:p w14:paraId="5199C400" w14:textId="4C4DFC29" w:rsidR="00C87516" w:rsidRDefault="00C87516" w:rsidP="00C87516">
      <w:pPr>
        <w:spacing w:after="240"/>
        <w:jc w:val="both"/>
      </w:pPr>
      <w:r w:rsidRPr="009E52C2">
        <w:rPr>
          <w:b/>
          <w:color w:val="000000"/>
        </w:rPr>
        <w:t xml:space="preserve">H2: </w:t>
      </w:r>
      <w:r w:rsidRPr="009E52C2">
        <w:rPr>
          <w:b/>
          <w:i/>
          <w:color w:val="000000"/>
        </w:rPr>
        <w:t>Audit fee</w:t>
      </w:r>
      <w:r w:rsidRPr="009E52C2">
        <w:rPr>
          <w:b/>
          <w:color w:val="000000"/>
        </w:rPr>
        <w:t xml:space="preserve"> berpengaruh negatif terhadap </w:t>
      </w:r>
      <w:r w:rsidRPr="009E52C2">
        <w:rPr>
          <w:b/>
          <w:bCs/>
          <w:i/>
          <w:iCs/>
          <w:color w:val="000000"/>
        </w:rPr>
        <w:t>tax evasion</w:t>
      </w:r>
      <w:r w:rsidRPr="009E52C2">
        <w:rPr>
          <w:b/>
          <w:color w:val="000000"/>
        </w:rPr>
        <w:t>.</w:t>
      </w:r>
    </w:p>
    <w:p w14:paraId="79157A88" w14:textId="71F9E0E7" w:rsidR="00924415" w:rsidRDefault="00924415" w:rsidP="00593653">
      <w:pPr>
        <w:jc w:val="both"/>
        <w:rPr>
          <w:b/>
          <w:bCs/>
          <w:i/>
          <w:iCs/>
        </w:rPr>
      </w:pPr>
      <w:r>
        <w:rPr>
          <w:b/>
          <w:bCs/>
          <w:i/>
          <w:iCs/>
        </w:rPr>
        <w:lastRenderedPageBreak/>
        <w:t>Audit Tenure</w:t>
      </w:r>
      <w:r>
        <w:rPr>
          <w:b/>
          <w:bCs/>
        </w:rPr>
        <w:t xml:space="preserve"> terhadap </w:t>
      </w:r>
      <w:r>
        <w:rPr>
          <w:b/>
          <w:bCs/>
          <w:i/>
          <w:iCs/>
        </w:rPr>
        <w:t>Tax Evasion</w:t>
      </w:r>
    </w:p>
    <w:p w14:paraId="4E7344E6" w14:textId="4BE849D1" w:rsidR="00B54E1C" w:rsidRDefault="00B54E1C" w:rsidP="00B54E1C">
      <w:pPr>
        <w:ind w:firstLine="709"/>
        <w:jc w:val="both"/>
      </w:pPr>
      <w:r w:rsidRPr="00B54E1C">
        <w:rPr>
          <w:i/>
          <w:iCs/>
        </w:rPr>
        <w:t>Audit tenure</w:t>
      </w:r>
      <w:r w:rsidRPr="00B54E1C">
        <w:t xml:space="preserve"> mengacu pada lamanya hubungan kerja antara auditor dengan klien perusahaan. </w:t>
      </w:r>
      <w:r w:rsidRPr="00B54E1C">
        <w:rPr>
          <w:i/>
          <w:iCs/>
        </w:rPr>
        <w:t>Tenure</w:t>
      </w:r>
      <w:r w:rsidRPr="00B54E1C">
        <w:t xml:space="preserve"> yang panjang memungkinkan auditor memiliki pemahaman yang lebih mendalam mengenai operasional perusahaan, sistem pengendalian internal, serta risiko bisnis klien sehingga proses audit dapat dilakukan secara lebih efisien dan akurat </w:t>
      </w:r>
      <w:r w:rsidR="00AB3B09">
        <w:fldChar w:fldCharType="begin" w:fldLock="1"/>
      </w:r>
      <w:r w:rsidR="00AB3B09">
        <w:instrText>ADDIN CSL_CITATION {"citationItems":[{"id":"ITEM-1","itemData":{"abstract":"otation of audit partners is one of the main policy initiatives that has been implemented in many jurisdictions around the world to deal with concerns about audit quality. The basis of any requirement limiting the tenure of audit partners is that there is a reduction in audit quality associated with long periods of tenure. Using data from Australia, where the audit partner can be identified and for a period where partner rotation was not mandatory, we examine the association between audit quality and long audit partner tenure. The three measures of audit quality examined are the auditor's propensity to issue a going-concern audit opinion for distressed companies, the direction and amount of abnormal working capital accruals, and just beating (missing) earnings benchmarks. For long tenure observations we find a lower propensity to issue a going-concern opinion and some evidence of just beating (missing) earnings benchmarks, consistent with deterioration in audit quality associated with long audit partner tenure. There is no evidence of an association of long audit tenure with abnormal working capital accruals.","author":[{"dropping-particle":"","family":"Carey","given":"Peter","non-dropping-particle":"","parse-names":false,"suffix":""},{"dropping-particle":"","family":"Simnett","given":"Roger","non-dropping-particle":"","parse-names":false,"suffix":""}],"container-title":"The Accounting Review","id":"ITEM-1","issue":"3","issued":{"date-parts":[["2006"]]},"page":"653-676","title":"Audit Partner Tenure and Audit Quality","type":"article-journal","volume":"81"},"uris":["http://www.mendeley.com/documents/?uuid=da89f53f-f4a9-405b-9a41-4db7d3c25a97"]}],"mendeley":{"formattedCitation":"(Carey &amp; Simnett, 2006)","plainTextFormattedCitation":"(Carey &amp; Simnett, 2006)","previouslyFormattedCitation":"(Carey &amp; Simnett, 2006)"},"properties":{"noteIndex":0},"schema":"https://github.com/citation-style-language/schema/raw/master/csl-citation.json"}</w:instrText>
      </w:r>
      <w:r w:rsidR="00AB3B09">
        <w:fldChar w:fldCharType="separate"/>
      </w:r>
      <w:r w:rsidR="00AB3B09" w:rsidRPr="00AB3B09">
        <w:rPr>
          <w:noProof/>
        </w:rPr>
        <w:t>(Carey &amp; Simnett, 2006)</w:t>
      </w:r>
      <w:r w:rsidR="00AB3B09">
        <w:fldChar w:fldCharType="end"/>
      </w:r>
      <w:r w:rsidRPr="00B54E1C">
        <w:t>. Dalam perspektif teori</w:t>
      </w:r>
      <w:r>
        <w:t xml:space="preserve"> agensi</w:t>
      </w:r>
      <w:r w:rsidRPr="00B54E1C">
        <w:t xml:space="preserve">, hubungan antara auditor dan manajemen tetap harus menjaga prinsip independensi untuk meminimalkan konflik kepentingan antara manajer (agen) dan pemegang saham (prinsipal). </w:t>
      </w:r>
      <w:r w:rsidRPr="00B54E1C">
        <w:rPr>
          <w:i/>
          <w:iCs/>
        </w:rPr>
        <w:t>Audit</w:t>
      </w:r>
      <w:r w:rsidRPr="00B54E1C">
        <w:t xml:space="preserve"> </w:t>
      </w:r>
      <w:r w:rsidRPr="00B54E1C">
        <w:rPr>
          <w:i/>
          <w:iCs/>
        </w:rPr>
        <w:t>tenure</w:t>
      </w:r>
      <w:r w:rsidRPr="00B54E1C">
        <w:t xml:space="preserve"> yang ideal diharapkan mampu menyeimbangkan pemahaman auditor terhadap kondisi perusahaan dengan tetap mempertahankan independensi auditor. Sejumlah penelitian empiris mendukung hubungan tersebut, di antaranya </w:t>
      </w:r>
      <w:r w:rsidR="00AB3B09">
        <w:fldChar w:fldCharType="begin" w:fldLock="1"/>
      </w:r>
      <w:r w:rsidR="00AB3B09">
        <w:instrText>ADDIN CSL_CITATION {"citationItems":[{"id":"ITEM-1","itemData":{"DOI":"https://doi.org/10.28932/jam.v16i1.8098","abstract":"Purpose - This study aims to explore the role of auditor characteristics on the practice of tax avoidance in Indonesia. Auditor characteristics are determined from the auditor industry specialization, audit opinion, audit tenure, and audit fee. Meanwhile, tax avoidance behavior is determined from a comparison of the effective tax rate (ETR). Design/methodology/approach - The secondary data analysis on this study applies a panel data regression method to analyze data from companies listed on the Indonesia Stock Exchange between 2018 and 2022. Findings -The findings indicate that audit tenure has a significant negative effect on tax avoidance. Meanwhile, auditor industry specialization, audit opinion, and audit fees do not have a significant effect on tax avoidance. Research limitations/implications - The results of this study contribute to the role of auditor characteristics on tax avoidance practices.","author":[{"dropping-particle":"","family":"Hendi","given":"","non-dropping-particle":"","parse-names":false,"suffix":""},{"dropping-particle":"","family":"Sherly","given":"","non-dropping-particle":"","parse-names":false,"suffix":""}],"container-title":"Jurnal Akuntansi","id":"ITEM-1","issue":"1","issued":{"date-parts":[["2024"]]},"page":"41-52","title":"The Role of Auditor Characteristics on Tax Avoidance","type":"article-journal","volume":"16"},"uris":["http://www.mendeley.com/documents/?uuid=c4e25895-4674-483a-9f38-11b6ff08cca3"]}],"mendeley":{"formattedCitation":"(Hendi &amp; Sherly, 2024)","manualFormatting":"Hendi &amp; Sherly (2024)","plainTextFormattedCitation":"(Hendi &amp; Sherly, 2024)","previouslyFormattedCitation":"(Hendi &amp; Sherly, 2024)"},"properties":{"noteIndex":0},"schema":"https://github.com/citation-style-language/schema/raw/master/csl-citation.json"}</w:instrText>
      </w:r>
      <w:r w:rsidR="00AB3B09">
        <w:fldChar w:fldCharType="separate"/>
      </w:r>
      <w:r w:rsidR="00AB3B09" w:rsidRPr="00AB3B09">
        <w:rPr>
          <w:noProof/>
        </w:rPr>
        <w:t xml:space="preserve">Hendi &amp; Sherly </w:t>
      </w:r>
      <w:r w:rsidR="00AB3B09">
        <w:rPr>
          <w:noProof/>
        </w:rPr>
        <w:t>(</w:t>
      </w:r>
      <w:r w:rsidR="00AB3B09" w:rsidRPr="00AB3B09">
        <w:rPr>
          <w:noProof/>
        </w:rPr>
        <w:t>2024)</w:t>
      </w:r>
      <w:r w:rsidR="00AB3B09">
        <w:fldChar w:fldCharType="end"/>
      </w:r>
      <w:r w:rsidRPr="00B54E1C">
        <w:t xml:space="preserve"> serta </w:t>
      </w:r>
      <w:r w:rsidR="00AB3B09">
        <w:fldChar w:fldCharType="begin" w:fldLock="1"/>
      </w:r>
      <w:r w:rsidR="00AB3B09">
        <w:instrText>ADDIN CSL_CITATION {"citationItems":[{"id":"ITEM-1","itemData":{"abstract":"This study aims to examine the effect of audit characteristics on tax avoidance. This study has a dependent variable, namely tax avoidance with independent variables including auditor industry specialization, audit fee, audit tenure, and audit opinion. This study uses secondary data derived from the financial statements of all consumer non-cyclicals sector companies listed on the Indonesia Stock Exchange (IDX) in 2019-2021. The research sampling was carried out using purposive sampling method. A total of 34 companies were tested with details of 84 samples throughout the three-year research span. The analysis method used is multiple regression analysis. The results of this study indicate that audit tenure has a negative effect, while audit fee have a positive effect on tax avoidance while auditor industry specialization and audit opinion are found to have no effect.","author":[{"dropping-particle":"","family":"Simamora","given":"Gian Pahala Tadore","non-dropping-particle":"","parse-names":false,"suffix":""},{"dropping-particle":"","family":"Prabowo","given":"Tri Jatmiko Wahyu","non-dropping-particle":"","parse-names":false,"suffix":""}],"container-title":"Diponegoro Journal of Accounting","id":"ITEM-1","issue":"4","issued":{"date-parts":[["2023"]]},"page":"1-13","title":"Pengaruh Karakteristik Audit terhadap Penghindaran Pajak","type":"article-journal","volume":"12"},"uris":["http://www.mendeley.com/documents/?uuid=1b24fece-aed1-43ca-8ac0-18d416ab05db"]}],"mendeley":{"formattedCitation":"(Simamora &amp; Prabowo, 2023)","manualFormatting":"Simamora &amp; Prabowo (2023)","plainTextFormattedCitation":"(Simamora &amp; Prabowo, 2023)","previouslyFormattedCitation":"(Simamora &amp; Prabowo, 2023)"},"properties":{"noteIndex":0},"schema":"https://github.com/citation-style-language/schema/raw/master/csl-citation.json"}</w:instrText>
      </w:r>
      <w:r w:rsidR="00AB3B09">
        <w:fldChar w:fldCharType="separate"/>
      </w:r>
      <w:r w:rsidR="00AB3B09" w:rsidRPr="00AB3B09">
        <w:rPr>
          <w:noProof/>
        </w:rPr>
        <w:t xml:space="preserve">Simamora &amp; Prabowo </w:t>
      </w:r>
      <w:r w:rsidR="00AB3B09">
        <w:rPr>
          <w:noProof/>
        </w:rPr>
        <w:t>(</w:t>
      </w:r>
      <w:r w:rsidR="00AB3B09" w:rsidRPr="00AB3B09">
        <w:rPr>
          <w:noProof/>
        </w:rPr>
        <w:t>2023)</w:t>
      </w:r>
      <w:r w:rsidR="00AB3B09">
        <w:fldChar w:fldCharType="end"/>
      </w:r>
      <w:r w:rsidRPr="00B54E1C">
        <w:t xml:space="preserve"> yang menemukan bahwa </w:t>
      </w:r>
      <w:r w:rsidRPr="00B54E1C">
        <w:rPr>
          <w:i/>
          <w:iCs/>
        </w:rPr>
        <w:t>audit</w:t>
      </w:r>
      <w:r w:rsidRPr="00B54E1C">
        <w:t xml:space="preserve"> </w:t>
      </w:r>
      <w:r w:rsidRPr="00B54E1C">
        <w:rPr>
          <w:i/>
          <w:iCs/>
        </w:rPr>
        <w:t>tenure</w:t>
      </w:r>
      <w:r w:rsidRPr="00B54E1C">
        <w:t xml:space="preserve"> berpengaruh negatif signifikan terhadap penghindaran pajak karena masa kerja auditor yang lebih lama meningkatkan pemahaman terhadap sistem perusahaan sehingga mampu menekan praktik penghindaran pajak. Selain itu, </w:t>
      </w:r>
      <w:r w:rsidR="00AB3B09">
        <w:fldChar w:fldCharType="begin" w:fldLock="1"/>
      </w:r>
      <w:r w:rsidR="00E06403">
        <w:instrText>ADDIN CSL_CITATION {"citationItems":[{"id":"ITEM-1","itemData":{"abstract":"This study was conducted to determine the effect of the taxation system and tax audits on tax evasion. Tax evasion is an act against tax law in Indonesia, so it needs to be controlled in various ways. This study obtained data by distributing questionnaires to 100 respondents with SPSS as the analysis tool. The results showed that the tax system and tax audit can reduce tax evasion","author":[{"dropping-particle":"","family":"Prabowo","given":"Kristianto Tricahya","non-dropping-particle":"","parse-names":false,"suffix":""},{"dropping-particle":"","family":"Izzadieny","given":"Fitra","non-dropping-particle":"","parse-names":false,"suffix":""},{"dropping-particle":"","family":"Rizka","given":"Nor Rahma","non-dropping-particle":"","parse-names":false,"suffix":""}],"container-title":"Jurnal Akuntansi Unesa","id":"ITEM-1","issue":"2","issued":{"date-parts":[["2025"]]},"page":"183-190","title":"The Effect of Taxation System and Tax Audit on Tax Evasion","type":"article-journal","volume":"13"},"uris":["http://www.mendeley.com/documents/?uuid=6517ade0-0fac-42bd-b178-30a6f303fe16"]}],"mendeley":{"formattedCitation":"(Prabowo et al., 2025)","manualFormatting":"Prabowo et al. (2025)","plainTextFormattedCitation":"(Prabowo et al., 2025)","previouslyFormattedCitation":"(Prabowo et al., 2025)"},"properties":{"noteIndex":0},"schema":"https://github.com/citation-style-language/schema/raw/master/csl-citation.json"}</w:instrText>
      </w:r>
      <w:r w:rsidR="00AB3B09">
        <w:fldChar w:fldCharType="separate"/>
      </w:r>
      <w:r w:rsidR="00AB3B09" w:rsidRPr="00AB3B09">
        <w:rPr>
          <w:noProof/>
        </w:rPr>
        <w:t xml:space="preserve">Prabowo </w:t>
      </w:r>
      <w:r w:rsidR="00AB3B09" w:rsidRPr="00AB3B09">
        <w:rPr>
          <w:i/>
          <w:iCs/>
          <w:noProof/>
        </w:rPr>
        <w:t>et al</w:t>
      </w:r>
      <w:r w:rsidR="00AB3B09" w:rsidRPr="00AB3B09">
        <w:rPr>
          <w:noProof/>
        </w:rPr>
        <w:t xml:space="preserve">. </w:t>
      </w:r>
      <w:r w:rsidR="00AB3B09">
        <w:rPr>
          <w:noProof/>
        </w:rPr>
        <w:t>(</w:t>
      </w:r>
      <w:r w:rsidR="00AB3B09" w:rsidRPr="00AB3B09">
        <w:rPr>
          <w:noProof/>
        </w:rPr>
        <w:t>2025)</w:t>
      </w:r>
      <w:r w:rsidR="00AB3B09">
        <w:fldChar w:fldCharType="end"/>
      </w:r>
      <w:r w:rsidRPr="00B54E1C">
        <w:t xml:space="preserve"> menegaskan bahwa efektivitas audit dalam menekan </w:t>
      </w:r>
      <w:r w:rsidRPr="00B54E1C">
        <w:rPr>
          <w:i/>
          <w:iCs/>
        </w:rPr>
        <w:t>tax</w:t>
      </w:r>
      <w:r w:rsidRPr="00B54E1C">
        <w:t xml:space="preserve"> </w:t>
      </w:r>
      <w:r w:rsidRPr="00B54E1C">
        <w:rPr>
          <w:i/>
          <w:iCs/>
        </w:rPr>
        <w:t>evasion</w:t>
      </w:r>
      <w:r w:rsidRPr="00B54E1C">
        <w:t xml:space="preserve"> bergantung pada kemampuan auditor menjaga profesionalisme dan independensi meskipun memiliki hubungan jangka panjang dengan klien. Hal ini juga diperkuat oleh kebijakan pemerintah Indonesia melalui Peraturan Pemerintah Nomor 20 Tahun 2015 tentang Praktik Akuntan Publik yang mengatur batasan </w:t>
      </w:r>
      <w:r w:rsidRPr="00B54E1C">
        <w:rPr>
          <w:i/>
          <w:iCs/>
        </w:rPr>
        <w:t>audit</w:t>
      </w:r>
      <w:r w:rsidRPr="00B54E1C">
        <w:t xml:space="preserve"> </w:t>
      </w:r>
      <w:r w:rsidRPr="00B54E1C">
        <w:rPr>
          <w:i/>
          <w:iCs/>
        </w:rPr>
        <w:t>tenure</w:t>
      </w:r>
      <w:r w:rsidRPr="00B54E1C">
        <w:t xml:space="preserve"> guna menjaga independensi auditor.</w:t>
      </w:r>
    </w:p>
    <w:p w14:paraId="0A8E81D9" w14:textId="7E5CF015" w:rsidR="00924415" w:rsidRDefault="00B54E1C" w:rsidP="00C01985">
      <w:pPr>
        <w:spacing w:after="240"/>
        <w:jc w:val="both"/>
        <w:rPr>
          <w:b/>
          <w:bCs/>
        </w:rPr>
      </w:pPr>
      <w:r w:rsidRPr="00B54E1C">
        <w:rPr>
          <w:b/>
          <w:bCs/>
        </w:rPr>
        <w:t xml:space="preserve">H3: </w:t>
      </w:r>
      <w:r w:rsidRPr="00B54E1C">
        <w:rPr>
          <w:b/>
          <w:bCs/>
          <w:i/>
          <w:iCs/>
        </w:rPr>
        <w:t>Audit tenure</w:t>
      </w:r>
      <w:r w:rsidRPr="00B54E1C">
        <w:rPr>
          <w:b/>
          <w:bCs/>
        </w:rPr>
        <w:t xml:space="preserve"> berpengaruh negatif terhadap </w:t>
      </w:r>
      <w:r w:rsidRPr="00B54E1C">
        <w:rPr>
          <w:b/>
          <w:bCs/>
          <w:i/>
          <w:iCs/>
        </w:rPr>
        <w:t>tax evasion</w:t>
      </w:r>
      <w:r w:rsidRPr="00B54E1C">
        <w:rPr>
          <w:b/>
          <w:bCs/>
        </w:rPr>
        <w:t>.</w:t>
      </w:r>
    </w:p>
    <w:p w14:paraId="408F5735" w14:textId="41EA872D" w:rsidR="00C01985" w:rsidRPr="0076299B" w:rsidRDefault="00C01985" w:rsidP="00C01985">
      <w:pPr>
        <w:pStyle w:val="Caption"/>
        <w:keepNext/>
        <w:jc w:val="center"/>
        <w:rPr>
          <w:sz w:val="24"/>
          <w:szCs w:val="24"/>
        </w:rPr>
      </w:pPr>
      <w:r w:rsidRPr="0076299B">
        <w:rPr>
          <w:sz w:val="24"/>
          <w:szCs w:val="24"/>
        </w:rPr>
        <w:t xml:space="preserve">Gambar </w:t>
      </w:r>
      <w:r w:rsidRPr="0076299B">
        <w:rPr>
          <w:sz w:val="24"/>
          <w:szCs w:val="24"/>
        </w:rPr>
        <w:fldChar w:fldCharType="begin"/>
      </w:r>
      <w:r w:rsidRPr="0076299B">
        <w:rPr>
          <w:sz w:val="24"/>
          <w:szCs w:val="24"/>
        </w:rPr>
        <w:instrText xml:space="preserve"> SEQ Gambar \* ARABIC </w:instrText>
      </w:r>
      <w:r w:rsidRPr="0076299B">
        <w:rPr>
          <w:sz w:val="24"/>
          <w:szCs w:val="24"/>
        </w:rPr>
        <w:fldChar w:fldCharType="separate"/>
      </w:r>
      <w:r w:rsidR="005543C9">
        <w:rPr>
          <w:noProof/>
          <w:sz w:val="24"/>
          <w:szCs w:val="24"/>
        </w:rPr>
        <w:t>1</w:t>
      </w:r>
      <w:r w:rsidRPr="0076299B">
        <w:rPr>
          <w:sz w:val="24"/>
          <w:szCs w:val="24"/>
        </w:rPr>
        <w:fldChar w:fldCharType="end"/>
      </w:r>
      <w:r w:rsidRPr="0076299B">
        <w:rPr>
          <w:sz w:val="24"/>
          <w:szCs w:val="24"/>
        </w:rPr>
        <w:t>. Kerangka Pemikiran</w:t>
      </w:r>
    </w:p>
    <w:p w14:paraId="1C6C4C48" w14:textId="07F79E8B" w:rsidR="00C01985" w:rsidRPr="00924415" w:rsidRDefault="00246705" w:rsidP="00C01985">
      <w:pPr>
        <w:spacing w:after="360"/>
        <w:jc w:val="center"/>
      </w:pPr>
      <w:r w:rsidRPr="00C01985">
        <w:rPr>
          <w:b/>
          <w:noProof/>
        </w:rPr>
        <w:drawing>
          <wp:inline distT="0" distB="0" distL="0" distR="0" wp14:anchorId="4DD364E4" wp14:editId="6D4B9748">
            <wp:extent cx="4839335" cy="19583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9335" cy="1958340"/>
                    </a:xfrm>
                    <a:prstGeom prst="rect">
                      <a:avLst/>
                    </a:prstGeom>
                    <a:noFill/>
                    <a:ln>
                      <a:noFill/>
                    </a:ln>
                  </pic:spPr>
                </pic:pic>
              </a:graphicData>
            </a:graphic>
          </wp:inline>
        </w:drawing>
      </w:r>
    </w:p>
    <w:p w14:paraId="2E107268" w14:textId="12997334" w:rsidR="007B3B70" w:rsidRDefault="007B3B70" w:rsidP="00C01985">
      <w:pPr>
        <w:pStyle w:val="Heading1"/>
        <w:spacing w:line="240" w:lineRule="auto"/>
        <w:jc w:val="both"/>
      </w:pPr>
      <w:r w:rsidRPr="0044421A">
        <w:t>METODE PENELITIAN</w:t>
      </w:r>
    </w:p>
    <w:p w14:paraId="31A80A86" w14:textId="71C27587" w:rsidR="00C01985" w:rsidRDefault="00C01985" w:rsidP="000D7DA7">
      <w:pPr>
        <w:jc w:val="both"/>
        <w:rPr>
          <w:b/>
          <w:bCs/>
        </w:rPr>
      </w:pPr>
      <w:r w:rsidRPr="00C01985">
        <w:rPr>
          <w:b/>
          <w:bCs/>
        </w:rPr>
        <w:t>Desain Sampel dan Data yang Dikumpulkan</w:t>
      </w:r>
    </w:p>
    <w:p w14:paraId="3153BFEF" w14:textId="77777777" w:rsidR="00C01985" w:rsidRPr="00C01985" w:rsidRDefault="00C01985" w:rsidP="00C01985">
      <w:pPr>
        <w:spacing w:after="80"/>
        <w:ind w:firstLine="851"/>
        <w:jc w:val="both"/>
      </w:pPr>
      <w:r w:rsidRPr="00C01985">
        <w:t xml:space="preserve">Perusahaan energi yang terdaftar di Bursa Efek Indonesia (BEI) pada periode 2022-2024 menjadi populasi dalam penelitian ini. Metode </w:t>
      </w:r>
      <w:r w:rsidRPr="00C01985">
        <w:rPr>
          <w:i/>
          <w:iCs/>
        </w:rPr>
        <w:t>purposive sampling</w:t>
      </w:r>
      <w:r w:rsidRPr="00C01985">
        <w:t xml:space="preserve"> menjadi metode yang digunakan untuk menentukan sampel dalam penelitian ini.</w:t>
      </w:r>
    </w:p>
    <w:p w14:paraId="74F7068B" w14:textId="77777777" w:rsidR="00C01985" w:rsidRPr="00C01985" w:rsidRDefault="00C01985" w:rsidP="00C01985">
      <w:pPr>
        <w:pStyle w:val="ListParagraph"/>
        <w:numPr>
          <w:ilvl w:val="3"/>
          <w:numId w:val="23"/>
        </w:numPr>
        <w:spacing w:after="240" w:line="240" w:lineRule="auto"/>
        <w:ind w:left="709" w:hanging="425"/>
        <w:jc w:val="both"/>
        <w:rPr>
          <w:rFonts w:ascii="Times New Roman" w:hAnsi="Times New Roman" w:cs="Times New Roman"/>
          <w:sz w:val="24"/>
          <w:szCs w:val="24"/>
        </w:rPr>
      </w:pPr>
      <w:r w:rsidRPr="00C01985">
        <w:rPr>
          <w:rFonts w:ascii="Times New Roman" w:hAnsi="Times New Roman" w:cs="Times New Roman"/>
          <w:sz w:val="24"/>
          <w:szCs w:val="24"/>
        </w:rPr>
        <w:t>Perusahaan sektor energi yang terdaftar di BEI di periode 2022-2024.</w:t>
      </w:r>
    </w:p>
    <w:p w14:paraId="43C2F0B7" w14:textId="77777777" w:rsidR="00C01985" w:rsidRPr="00C01985" w:rsidRDefault="00C01985" w:rsidP="00C01985">
      <w:pPr>
        <w:pStyle w:val="ListParagraph"/>
        <w:numPr>
          <w:ilvl w:val="3"/>
          <w:numId w:val="23"/>
        </w:numPr>
        <w:spacing w:after="240" w:line="240" w:lineRule="auto"/>
        <w:ind w:left="709" w:hanging="425"/>
        <w:jc w:val="both"/>
        <w:rPr>
          <w:rFonts w:ascii="Times New Roman" w:hAnsi="Times New Roman" w:cs="Times New Roman"/>
          <w:sz w:val="24"/>
          <w:szCs w:val="24"/>
        </w:rPr>
      </w:pPr>
      <w:r w:rsidRPr="00C01985">
        <w:rPr>
          <w:rFonts w:ascii="Times New Roman" w:hAnsi="Times New Roman" w:cs="Times New Roman"/>
          <w:sz w:val="24"/>
          <w:szCs w:val="24"/>
        </w:rPr>
        <w:t>Perusahaan sektor energi yang menerbitkan data laporan keuangan tahunan yang lengkap secara berturut-turut pada periode 2022-2024.</w:t>
      </w:r>
    </w:p>
    <w:p w14:paraId="28997DD0" w14:textId="77777777" w:rsidR="00C01985" w:rsidRPr="00C01985" w:rsidRDefault="00C01985" w:rsidP="00C01985">
      <w:pPr>
        <w:pStyle w:val="ListParagraph"/>
        <w:numPr>
          <w:ilvl w:val="3"/>
          <w:numId w:val="23"/>
        </w:numPr>
        <w:spacing w:after="240" w:line="240" w:lineRule="auto"/>
        <w:ind w:left="709" w:hanging="425"/>
        <w:jc w:val="both"/>
        <w:rPr>
          <w:rFonts w:ascii="Times New Roman" w:hAnsi="Times New Roman" w:cs="Times New Roman"/>
          <w:sz w:val="24"/>
          <w:szCs w:val="24"/>
        </w:rPr>
      </w:pPr>
      <w:r w:rsidRPr="00C01985">
        <w:rPr>
          <w:rFonts w:ascii="Times New Roman" w:hAnsi="Times New Roman" w:cs="Times New Roman"/>
          <w:sz w:val="24"/>
          <w:szCs w:val="24"/>
        </w:rPr>
        <w:t>Perusahaan yang mengungkapkan biaya audit pada periode 2022-2024 secara lengkap.</w:t>
      </w:r>
    </w:p>
    <w:p w14:paraId="6D4AEB68" w14:textId="77777777" w:rsidR="00C01985" w:rsidRPr="00C01985" w:rsidRDefault="00C01985" w:rsidP="00C01985">
      <w:pPr>
        <w:pStyle w:val="ListParagraph"/>
        <w:numPr>
          <w:ilvl w:val="3"/>
          <w:numId w:val="23"/>
        </w:numPr>
        <w:spacing w:after="0" w:line="240" w:lineRule="auto"/>
        <w:ind w:left="709" w:hanging="425"/>
        <w:jc w:val="both"/>
        <w:rPr>
          <w:rFonts w:ascii="Times New Roman" w:hAnsi="Times New Roman" w:cs="Times New Roman"/>
          <w:sz w:val="24"/>
          <w:szCs w:val="24"/>
        </w:rPr>
      </w:pPr>
      <w:r w:rsidRPr="00C01985">
        <w:rPr>
          <w:rFonts w:ascii="Times New Roman" w:hAnsi="Times New Roman" w:cs="Times New Roman"/>
          <w:sz w:val="24"/>
          <w:szCs w:val="24"/>
        </w:rPr>
        <w:t>Perusahaan energi dengan laba positif selama periode 2022-2024.</w:t>
      </w:r>
    </w:p>
    <w:p w14:paraId="179AA302" w14:textId="2A35B3DA" w:rsidR="00084260" w:rsidRPr="0093659F" w:rsidRDefault="00C01985" w:rsidP="0093659F">
      <w:pPr>
        <w:pStyle w:val="ListParagraph"/>
        <w:numPr>
          <w:ilvl w:val="3"/>
          <w:numId w:val="23"/>
        </w:numPr>
        <w:spacing w:after="0" w:line="240" w:lineRule="auto"/>
        <w:ind w:left="709" w:hanging="425"/>
        <w:jc w:val="both"/>
        <w:rPr>
          <w:rFonts w:ascii="Times New Roman" w:hAnsi="Times New Roman" w:cs="Times New Roman"/>
          <w:sz w:val="24"/>
          <w:szCs w:val="24"/>
        </w:rPr>
      </w:pPr>
      <w:r w:rsidRPr="00C01985">
        <w:rPr>
          <w:rFonts w:ascii="Times New Roman" w:hAnsi="Times New Roman" w:cs="Times New Roman"/>
          <w:sz w:val="24"/>
          <w:szCs w:val="24"/>
        </w:rPr>
        <w:t>Perusahaan yang menyediakan informasi terkait variabel yang dipakai pada penelitian ini.</w:t>
      </w:r>
    </w:p>
    <w:p w14:paraId="2B9762B0" w14:textId="77777777" w:rsidR="00084260" w:rsidRPr="00084260" w:rsidRDefault="00084260" w:rsidP="00084260">
      <w:pPr>
        <w:pStyle w:val="ListParagraph"/>
        <w:spacing w:after="0" w:line="240" w:lineRule="auto"/>
        <w:ind w:left="0"/>
        <w:jc w:val="both"/>
        <w:rPr>
          <w:rFonts w:ascii="Times New Roman" w:hAnsi="Times New Roman" w:cs="Times New Roman"/>
          <w:sz w:val="24"/>
          <w:szCs w:val="24"/>
        </w:rPr>
      </w:pPr>
    </w:p>
    <w:p w14:paraId="055FE53E" w14:textId="54D8D1BB" w:rsidR="00084260" w:rsidRPr="00084260" w:rsidRDefault="00084260" w:rsidP="00084260">
      <w:pPr>
        <w:pStyle w:val="Caption"/>
        <w:keepNext/>
        <w:jc w:val="center"/>
        <w:rPr>
          <w:sz w:val="24"/>
          <w:szCs w:val="24"/>
        </w:rPr>
      </w:pPr>
      <w:r w:rsidRPr="00084260">
        <w:rPr>
          <w:sz w:val="24"/>
          <w:szCs w:val="24"/>
        </w:rPr>
        <w:lastRenderedPageBreak/>
        <w:t xml:space="preserve">Tabel </w:t>
      </w:r>
      <w:r w:rsidRPr="00084260">
        <w:rPr>
          <w:sz w:val="24"/>
          <w:szCs w:val="24"/>
        </w:rPr>
        <w:fldChar w:fldCharType="begin"/>
      </w:r>
      <w:r w:rsidRPr="00084260">
        <w:rPr>
          <w:sz w:val="24"/>
          <w:szCs w:val="24"/>
        </w:rPr>
        <w:instrText xml:space="preserve"> SEQ Tabel \* ARABIC </w:instrText>
      </w:r>
      <w:r w:rsidRPr="00084260">
        <w:rPr>
          <w:sz w:val="24"/>
          <w:szCs w:val="24"/>
        </w:rPr>
        <w:fldChar w:fldCharType="separate"/>
      </w:r>
      <w:r w:rsidR="005543C9">
        <w:rPr>
          <w:noProof/>
          <w:sz w:val="24"/>
          <w:szCs w:val="24"/>
        </w:rPr>
        <w:t>1</w:t>
      </w:r>
      <w:r w:rsidRPr="00084260">
        <w:rPr>
          <w:sz w:val="24"/>
          <w:szCs w:val="24"/>
        </w:rPr>
        <w:fldChar w:fldCharType="end"/>
      </w:r>
      <w:r w:rsidRPr="00084260">
        <w:rPr>
          <w:sz w:val="24"/>
          <w:szCs w:val="24"/>
        </w:rPr>
        <w:t>. Deskripsi Objek Penelitian</w:t>
      </w:r>
    </w:p>
    <w:tbl>
      <w:tblPr>
        <w:tblStyle w:val="TableGrid"/>
        <w:tblW w:w="0" w:type="auto"/>
        <w:jc w:val="center"/>
        <w:tblLook w:val="04A0" w:firstRow="1" w:lastRow="0" w:firstColumn="1" w:lastColumn="0" w:noHBand="0" w:noVBand="1"/>
      </w:tblPr>
      <w:tblGrid>
        <w:gridCol w:w="704"/>
        <w:gridCol w:w="5245"/>
        <w:gridCol w:w="1978"/>
      </w:tblGrid>
      <w:tr w:rsidR="00084260" w:rsidRPr="009E52C2" w14:paraId="0B182912" w14:textId="77777777" w:rsidTr="00084260">
        <w:trPr>
          <w:jc w:val="center"/>
        </w:trPr>
        <w:tc>
          <w:tcPr>
            <w:tcW w:w="704" w:type="dxa"/>
          </w:tcPr>
          <w:p w14:paraId="35B99BAF" w14:textId="77777777" w:rsidR="00084260" w:rsidRPr="009E52C2" w:rsidRDefault="00084260" w:rsidP="00654974">
            <w:pPr>
              <w:spacing w:line="360" w:lineRule="auto"/>
              <w:jc w:val="center"/>
              <w:rPr>
                <w:rFonts w:ascii="Times New Roman" w:hAnsi="Times New Roman" w:cs="Times New Roman"/>
                <w:b/>
                <w:bCs/>
              </w:rPr>
            </w:pPr>
            <w:r w:rsidRPr="009E52C2">
              <w:rPr>
                <w:rFonts w:ascii="Times New Roman" w:hAnsi="Times New Roman" w:cs="Times New Roman"/>
                <w:b/>
                <w:bCs/>
              </w:rPr>
              <w:t>No.</w:t>
            </w:r>
          </w:p>
        </w:tc>
        <w:tc>
          <w:tcPr>
            <w:tcW w:w="5245" w:type="dxa"/>
          </w:tcPr>
          <w:p w14:paraId="2C965C45" w14:textId="77777777" w:rsidR="00084260" w:rsidRPr="009E52C2" w:rsidRDefault="00084260" w:rsidP="00654974">
            <w:pPr>
              <w:spacing w:line="360" w:lineRule="auto"/>
              <w:jc w:val="center"/>
              <w:rPr>
                <w:rFonts w:ascii="Times New Roman" w:hAnsi="Times New Roman" w:cs="Times New Roman"/>
                <w:b/>
                <w:bCs/>
              </w:rPr>
            </w:pPr>
            <w:r w:rsidRPr="009E52C2">
              <w:rPr>
                <w:rFonts w:ascii="Times New Roman" w:hAnsi="Times New Roman" w:cs="Times New Roman"/>
                <w:b/>
                <w:bCs/>
              </w:rPr>
              <w:t>Kriteria Sampel</w:t>
            </w:r>
          </w:p>
        </w:tc>
        <w:tc>
          <w:tcPr>
            <w:tcW w:w="1978" w:type="dxa"/>
          </w:tcPr>
          <w:p w14:paraId="1F5E98C9" w14:textId="77777777" w:rsidR="00084260" w:rsidRPr="009E52C2" w:rsidRDefault="00084260" w:rsidP="00654974">
            <w:pPr>
              <w:spacing w:line="360" w:lineRule="auto"/>
              <w:jc w:val="center"/>
              <w:rPr>
                <w:rFonts w:ascii="Times New Roman" w:hAnsi="Times New Roman" w:cs="Times New Roman"/>
                <w:b/>
                <w:bCs/>
              </w:rPr>
            </w:pPr>
            <w:r w:rsidRPr="009E52C2">
              <w:rPr>
                <w:rFonts w:ascii="Times New Roman" w:hAnsi="Times New Roman" w:cs="Times New Roman"/>
                <w:b/>
                <w:bCs/>
              </w:rPr>
              <w:t>Jumlah</w:t>
            </w:r>
          </w:p>
        </w:tc>
      </w:tr>
      <w:tr w:rsidR="00084260" w:rsidRPr="009E52C2" w14:paraId="62E537EE" w14:textId="77777777" w:rsidTr="00084260">
        <w:trPr>
          <w:jc w:val="center"/>
        </w:trPr>
        <w:tc>
          <w:tcPr>
            <w:tcW w:w="704" w:type="dxa"/>
          </w:tcPr>
          <w:p w14:paraId="38EC470B" w14:textId="77777777" w:rsidR="00084260" w:rsidRPr="009E52C2" w:rsidRDefault="00084260" w:rsidP="00654974">
            <w:pPr>
              <w:spacing w:line="360" w:lineRule="auto"/>
              <w:jc w:val="center"/>
              <w:rPr>
                <w:rFonts w:ascii="Times New Roman" w:hAnsi="Times New Roman" w:cs="Times New Roman"/>
                <w:b/>
                <w:bCs/>
              </w:rPr>
            </w:pPr>
            <w:r w:rsidRPr="009E52C2">
              <w:rPr>
                <w:rFonts w:ascii="Times New Roman" w:hAnsi="Times New Roman" w:cs="Times New Roman"/>
                <w:b/>
                <w:bCs/>
              </w:rPr>
              <w:t>1.</w:t>
            </w:r>
          </w:p>
        </w:tc>
        <w:tc>
          <w:tcPr>
            <w:tcW w:w="5245" w:type="dxa"/>
            <w:vAlign w:val="center"/>
          </w:tcPr>
          <w:p w14:paraId="5B6E50FA" w14:textId="77777777" w:rsidR="00084260" w:rsidRPr="009E52C2" w:rsidRDefault="00084260" w:rsidP="00654974">
            <w:pPr>
              <w:spacing w:line="360" w:lineRule="auto"/>
              <w:jc w:val="both"/>
              <w:rPr>
                <w:rFonts w:ascii="Times New Roman" w:hAnsi="Times New Roman" w:cs="Times New Roman"/>
              </w:rPr>
            </w:pPr>
            <w:r w:rsidRPr="009E52C2">
              <w:rPr>
                <w:rFonts w:ascii="Times New Roman" w:eastAsia="Times New Roman" w:hAnsi="Times New Roman" w:cs="Times New Roman"/>
                <w:color w:val="000000"/>
                <w:lang w:val="en-ID" w:eastAsia="en-ID"/>
              </w:rPr>
              <w:t>Perusahaan sektor energi yang terdaftar di BEI periode 2022–2024</w:t>
            </w:r>
          </w:p>
        </w:tc>
        <w:tc>
          <w:tcPr>
            <w:tcW w:w="1978" w:type="dxa"/>
          </w:tcPr>
          <w:p w14:paraId="32257ACF" w14:textId="77777777" w:rsidR="00084260" w:rsidRPr="009E52C2" w:rsidRDefault="00084260" w:rsidP="00654974">
            <w:pPr>
              <w:spacing w:line="360" w:lineRule="auto"/>
              <w:jc w:val="center"/>
              <w:rPr>
                <w:rFonts w:ascii="Times New Roman" w:hAnsi="Times New Roman" w:cs="Times New Roman"/>
              </w:rPr>
            </w:pPr>
            <w:r w:rsidRPr="009E52C2">
              <w:rPr>
                <w:rFonts w:ascii="Times New Roman" w:hAnsi="Times New Roman" w:cs="Times New Roman"/>
              </w:rPr>
              <w:t>87</w:t>
            </w:r>
          </w:p>
        </w:tc>
      </w:tr>
      <w:tr w:rsidR="00084260" w:rsidRPr="009E52C2" w14:paraId="0C39C3D0" w14:textId="77777777" w:rsidTr="00084260">
        <w:trPr>
          <w:jc w:val="center"/>
        </w:trPr>
        <w:tc>
          <w:tcPr>
            <w:tcW w:w="704" w:type="dxa"/>
          </w:tcPr>
          <w:p w14:paraId="0E9F9269" w14:textId="77777777" w:rsidR="00084260" w:rsidRPr="009E52C2" w:rsidRDefault="00084260" w:rsidP="00654974">
            <w:pPr>
              <w:spacing w:line="360" w:lineRule="auto"/>
              <w:jc w:val="center"/>
              <w:rPr>
                <w:rFonts w:ascii="Times New Roman" w:hAnsi="Times New Roman" w:cs="Times New Roman"/>
                <w:b/>
                <w:bCs/>
              </w:rPr>
            </w:pPr>
            <w:r w:rsidRPr="009E52C2">
              <w:rPr>
                <w:rFonts w:ascii="Times New Roman" w:hAnsi="Times New Roman" w:cs="Times New Roman"/>
                <w:b/>
                <w:bCs/>
              </w:rPr>
              <w:t>2.</w:t>
            </w:r>
          </w:p>
        </w:tc>
        <w:tc>
          <w:tcPr>
            <w:tcW w:w="5245" w:type="dxa"/>
            <w:vAlign w:val="center"/>
          </w:tcPr>
          <w:p w14:paraId="1AC07DAB" w14:textId="77777777" w:rsidR="00084260" w:rsidRPr="009E52C2" w:rsidRDefault="00084260" w:rsidP="00654974">
            <w:pPr>
              <w:spacing w:line="360" w:lineRule="auto"/>
              <w:jc w:val="both"/>
              <w:rPr>
                <w:rFonts w:ascii="Times New Roman" w:hAnsi="Times New Roman" w:cs="Times New Roman"/>
              </w:rPr>
            </w:pPr>
            <w:r w:rsidRPr="009E52C2">
              <w:rPr>
                <w:rFonts w:ascii="Times New Roman" w:eastAsia="Times New Roman" w:hAnsi="Times New Roman" w:cs="Times New Roman"/>
                <w:color w:val="000000"/>
                <w:lang w:val="en-ID" w:eastAsia="en-ID"/>
              </w:rPr>
              <w:t>Perusahaan sektor energi yang menerbitkan laporan keuangan tahunan lengkap secara berturut-turut periode 2022–2024</w:t>
            </w:r>
          </w:p>
        </w:tc>
        <w:tc>
          <w:tcPr>
            <w:tcW w:w="1978" w:type="dxa"/>
          </w:tcPr>
          <w:p w14:paraId="65A1D373" w14:textId="77777777" w:rsidR="00084260" w:rsidRPr="009E52C2" w:rsidRDefault="00084260" w:rsidP="00654974">
            <w:pPr>
              <w:spacing w:line="360" w:lineRule="auto"/>
              <w:jc w:val="center"/>
              <w:rPr>
                <w:rFonts w:ascii="Times New Roman" w:hAnsi="Times New Roman" w:cs="Times New Roman"/>
              </w:rPr>
            </w:pPr>
            <w:r w:rsidRPr="009E52C2">
              <w:rPr>
                <w:rFonts w:ascii="Times New Roman" w:hAnsi="Times New Roman" w:cs="Times New Roman"/>
              </w:rPr>
              <w:t>(9)</w:t>
            </w:r>
          </w:p>
        </w:tc>
      </w:tr>
      <w:tr w:rsidR="00084260" w:rsidRPr="009E52C2" w14:paraId="056BA11E" w14:textId="77777777" w:rsidTr="00084260">
        <w:trPr>
          <w:jc w:val="center"/>
        </w:trPr>
        <w:tc>
          <w:tcPr>
            <w:tcW w:w="704" w:type="dxa"/>
          </w:tcPr>
          <w:p w14:paraId="1F19BEA8" w14:textId="77777777" w:rsidR="00084260" w:rsidRPr="009E52C2" w:rsidRDefault="00084260" w:rsidP="00654974">
            <w:pPr>
              <w:spacing w:line="360" w:lineRule="auto"/>
              <w:jc w:val="center"/>
              <w:rPr>
                <w:rFonts w:ascii="Times New Roman" w:hAnsi="Times New Roman" w:cs="Times New Roman"/>
                <w:b/>
                <w:bCs/>
              </w:rPr>
            </w:pPr>
            <w:r w:rsidRPr="009E52C2">
              <w:rPr>
                <w:rFonts w:ascii="Times New Roman" w:hAnsi="Times New Roman" w:cs="Times New Roman"/>
                <w:b/>
                <w:bCs/>
              </w:rPr>
              <w:t>3.</w:t>
            </w:r>
          </w:p>
        </w:tc>
        <w:tc>
          <w:tcPr>
            <w:tcW w:w="5245" w:type="dxa"/>
            <w:vAlign w:val="center"/>
          </w:tcPr>
          <w:p w14:paraId="39B4006F" w14:textId="77777777" w:rsidR="00084260" w:rsidRPr="009E52C2" w:rsidRDefault="00084260" w:rsidP="00654974">
            <w:pPr>
              <w:spacing w:line="360" w:lineRule="auto"/>
              <w:jc w:val="both"/>
              <w:rPr>
                <w:rFonts w:ascii="Times New Roman" w:hAnsi="Times New Roman" w:cs="Times New Roman"/>
              </w:rPr>
            </w:pPr>
            <w:r w:rsidRPr="009E52C2">
              <w:rPr>
                <w:rFonts w:ascii="Times New Roman" w:eastAsia="Times New Roman" w:hAnsi="Times New Roman" w:cs="Times New Roman"/>
                <w:color w:val="000000"/>
                <w:lang w:val="en-ID" w:eastAsia="en-ID"/>
              </w:rPr>
              <w:t>Perusahaan yang mengungkapkan biaya audit secara lengkap pada periode 2022–2024</w:t>
            </w:r>
          </w:p>
        </w:tc>
        <w:tc>
          <w:tcPr>
            <w:tcW w:w="1978" w:type="dxa"/>
          </w:tcPr>
          <w:p w14:paraId="49816E27" w14:textId="77777777" w:rsidR="00084260" w:rsidRPr="009E52C2" w:rsidRDefault="00084260" w:rsidP="00654974">
            <w:pPr>
              <w:spacing w:line="360" w:lineRule="auto"/>
              <w:jc w:val="center"/>
              <w:rPr>
                <w:rFonts w:ascii="Times New Roman" w:hAnsi="Times New Roman" w:cs="Times New Roman"/>
              </w:rPr>
            </w:pPr>
            <w:r w:rsidRPr="009E52C2">
              <w:rPr>
                <w:rFonts w:ascii="Times New Roman" w:hAnsi="Times New Roman" w:cs="Times New Roman"/>
              </w:rPr>
              <w:t>(16)</w:t>
            </w:r>
          </w:p>
        </w:tc>
      </w:tr>
      <w:tr w:rsidR="00084260" w:rsidRPr="009E52C2" w14:paraId="2D43E062" w14:textId="77777777" w:rsidTr="00084260">
        <w:trPr>
          <w:jc w:val="center"/>
        </w:trPr>
        <w:tc>
          <w:tcPr>
            <w:tcW w:w="704" w:type="dxa"/>
          </w:tcPr>
          <w:p w14:paraId="0D10B24D" w14:textId="77777777" w:rsidR="00084260" w:rsidRPr="009E52C2" w:rsidRDefault="00084260" w:rsidP="00654974">
            <w:pPr>
              <w:spacing w:line="360" w:lineRule="auto"/>
              <w:jc w:val="center"/>
              <w:rPr>
                <w:rFonts w:ascii="Times New Roman" w:hAnsi="Times New Roman" w:cs="Times New Roman"/>
                <w:b/>
                <w:bCs/>
              </w:rPr>
            </w:pPr>
            <w:r w:rsidRPr="009E52C2">
              <w:rPr>
                <w:rFonts w:ascii="Times New Roman" w:hAnsi="Times New Roman" w:cs="Times New Roman"/>
                <w:b/>
                <w:bCs/>
              </w:rPr>
              <w:t>4.</w:t>
            </w:r>
          </w:p>
        </w:tc>
        <w:tc>
          <w:tcPr>
            <w:tcW w:w="5245" w:type="dxa"/>
            <w:vAlign w:val="center"/>
          </w:tcPr>
          <w:p w14:paraId="5494E281" w14:textId="77777777" w:rsidR="00084260" w:rsidRPr="009E52C2" w:rsidRDefault="00084260" w:rsidP="00654974">
            <w:pPr>
              <w:spacing w:line="360" w:lineRule="auto"/>
              <w:jc w:val="both"/>
              <w:rPr>
                <w:rFonts w:ascii="Times New Roman" w:hAnsi="Times New Roman" w:cs="Times New Roman"/>
              </w:rPr>
            </w:pPr>
            <w:r w:rsidRPr="009E52C2">
              <w:rPr>
                <w:rFonts w:ascii="Times New Roman" w:eastAsia="Times New Roman" w:hAnsi="Times New Roman" w:cs="Times New Roman"/>
                <w:color w:val="000000"/>
                <w:lang w:val="en-ID" w:eastAsia="en-ID"/>
              </w:rPr>
              <w:t>Perusahaan sektor energi dengan laba positif selama periode 2022–2024</w:t>
            </w:r>
          </w:p>
        </w:tc>
        <w:tc>
          <w:tcPr>
            <w:tcW w:w="1978" w:type="dxa"/>
          </w:tcPr>
          <w:p w14:paraId="6EC240FB" w14:textId="77777777" w:rsidR="00084260" w:rsidRPr="009E52C2" w:rsidRDefault="00084260" w:rsidP="00654974">
            <w:pPr>
              <w:spacing w:line="360" w:lineRule="auto"/>
              <w:jc w:val="center"/>
              <w:rPr>
                <w:rFonts w:ascii="Times New Roman" w:hAnsi="Times New Roman" w:cs="Times New Roman"/>
              </w:rPr>
            </w:pPr>
            <w:r w:rsidRPr="009E52C2">
              <w:rPr>
                <w:rFonts w:ascii="Times New Roman" w:hAnsi="Times New Roman" w:cs="Times New Roman"/>
              </w:rPr>
              <w:t>(16)</w:t>
            </w:r>
          </w:p>
        </w:tc>
      </w:tr>
      <w:tr w:rsidR="00084260" w:rsidRPr="009E52C2" w14:paraId="151CD87D" w14:textId="77777777" w:rsidTr="00084260">
        <w:trPr>
          <w:jc w:val="center"/>
        </w:trPr>
        <w:tc>
          <w:tcPr>
            <w:tcW w:w="704" w:type="dxa"/>
          </w:tcPr>
          <w:p w14:paraId="2003EB8A" w14:textId="77777777" w:rsidR="00084260" w:rsidRPr="009E52C2" w:rsidRDefault="00084260" w:rsidP="00654974">
            <w:pPr>
              <w:spacing w:line="360" w:lineRule="auto"/>
              <w:jc w:val="center"/>
              <w:rPr>
                <w:rFonts w:ascii="Times New Roman" w:hAnsi="Times New Roman" w:cs="Times New Roman"/>
                <w:b/>
                <w:bCs/>
              </w:rPr>
            </w:pPr>
            <w:r w:rsidRPr="009E52C2">
              <w:rPr>
                <w:rFonts w:ascii="Times New Roman" w:hAnsi="Times New Roman" w:cs="Times New Roman"/>
                <w:b/>
                <w:bCs/>
              </w:rPr>
              <w:t>5.</w:t>
            </w:r>
          </w:p>
        </w:tc>
        <w:tc>
          <w:tcPr>
            <w:tcW w:w="5245" w:type="dxa"/>
            <w:vAlign w:val="center"/>
          </w:tcPr>
          <w:p w14:paraId="516FE21A" w14:textId="77777777" w:rsidR="00084260" w:rsidRPr="009E52C2" w:rsidRDefault="00084260" w:rsidP="00654974">
            <w:pPr>
              <w:spacing w:line="360" w:lineRule="auto"/>
              <w:jc w:val="both"/>
              <w:rPr>
                <w:rFonts w:ascii="Times New Roman" w:hAnsi="Times New Roman" w:cs="Times New Roman"/>
              </w:rPr>
            </w:pPr>
            <w:r w:rsidRPr="009E52C2">
              <w:rPr>
                <w:rFonts w:ascii="Times New Roman" w:eastAsia="Times New Roman" w:hAnsi="Times New Roman" w:cs="Times New Roman"/>
                <w:color w:val="000000"/>
                <w:lang w:val="en-ID" w:eastAsia="en-ID"/>
              </w:rPr>
              <w:t>Perusahaan yang menyediakan informasi terkait variabel yang digunakan dalam penelitian</w:t>
            </w:r>
          </w:p>
        </w:tc>
        <w:tc>
          <w:tcPr>
            <w:tcW w:w="1978" w:type="dxa"/>
          </w:tcPr>
          <w:p w14:paraId="4C41D889" w14:textId="77777777" w:rsidR="00084260" w:rsidRPr="009E52C2" w:rsidRDefault="00084260" w:rsidP="00654974">
            <w:pPr>
              <w:spacing w:line="360" w:lineRule="auto"/>
              <w:jc w:val="center"/>
              <w:rPr>
                <w:rFonts w:ascii="Times New Roman" w:hAnsi="Times New Roman" w:cs="Times New Roman"/>
              </w:rPr>
            </w:pPr>
            <w:r w:rsidRPr="009E52C2">
              <w:rPr>
                <w:rFonts w:ascii="Times New Roman" w:hAnsi="Times New Roman" w:cs="Times New Roman"/>
              </w:rPr>
              <w:t>(11)</w:t>
            </w:r>
          </w:p>
        </w:tc>
      </w:tr>
      <w:tr w:rsidR="00084260" w:rsidRPr="009E52C2" w14:paraId="43DAA89B" w14:textId="77777777" w:rsidTr="00084260">
        <w:trPr>
          <w:jc w:val="center"/>
        </w:trPr>
        <w:tc>
          <w:tcPr>
            <w:tcW w:w="5949" w:type="dxa"/>
            <w:gridSpan w:val="2"/>
          </w:tcPr>
          <w:p w14:paraId="0EA9E949" w14:textId="77777777" w:rsidR="00084260" w:rsidRPr="009E52C2" w:rsidRDefault="00084260" w:rsidP="00654974">
            <w:pPr>
              <w:spacing w:line="360" w:lineRule="auto"/>
              <w:jc w:val="both"/>
              <w:rPr>
                <w:rFonts w:ascii="Times New Roman" w:hAnsi="Times New Roman" w:cs="Times New Roman"/>
                <w:b/>
                <w:bCs/>
              </w:rPr>
            </w:pPr>
            <w:r w:rsidRPr="009E52C2">
              <w:rPr>
                <w:rFonts w:ascii="Times New Roman" w:hAnsi="Times New Roman" w:cs="Times New Roman"/>
                <w:b/>
                <w:bCs/>
              </w:rPr>
              <w:t>Total Sampel</w:t>
            </w:r>
          </w:p>
        </w:tc>
        <w:tc>
          <w:tcPr>
            <w:tcW w:w="1978" w:type="dxa"/>
          </w:tcPr>
          <w:p w14:paraId="27676000" w14:textId="77777777" w:rsidR="00084260" w:rsidRPr="009E52C2" w:rsidRDefault="00084260" w:rsidP="00654974">
            <w:pPr>
              <w:spacing w:line="360" w:lineRule="auto"/>
              <w:jc w:val="center"/>
              <w:rPr>
                <w:rFonts w:ascii="Times New Roman" w:hAnsi="Times New Roman" w:cs="Times New Roman"/>
              </w:rPr>
            </w:pPr>
            <w:r w:rsidRPr="009E52C2">
              <w:rPr>
                <w:rFonts w:ascii="Times New Roman" w:hAnsi="Times New Roman" w:cs="Times New Roman"/>
              </w:rPr>
              <w:t>35</w:t>
            </w:r>
          </w:p>
        </w:tc>
      </w:tr>
      <w:tr w:rsidR="00084260" w:rsidRPr="009E52C2" w14:paraId="5447C62A" w14:textId="77777777" w:rsidTr="00084260">
        <w:trPr>
          <w:jc w:val="center"/>
        </w:trPr>
        <w:tc>
          <w:tcPr>
            <w:tcW w:w="5949" w:type="dxa"/>
            <w:gridSpan w:val="2"/>
          </w:tcPr>
          <w:p w14:paraId="36831C86" w14:textId="77777777" w:rsidR="00084260" w:rsidRPr="009E52C2" w:rsidRDefault="00084260" w:rsidP="00654974">
            <w:pPr>
              <w:spacing w:line="360" w:lineRule="auto"/>
              <w:jc w:val="both"/>
              <w:rPr>
                <w:rFonts w:ascii="Times New Roman" w:hAnsi="Times New Roman" w:cs="Times New Roman"/>
                <w:b/>
                <w:bCs/>
              </w:rPr>
            </w:pPr>
            <w:r w:rsidRPr="009E52C2">
              <w:rPr>
                <w:rFonts w:ascii="Times New Roman" w:hAnsi="Times New Roman" w:cs="Times New Roman"/>
                <w:b/>
                <w:bCs/>
              </w:rPr>
              <w:t>Total Sampel Penelitian (2022-2024)</w:t>
            </w:r>
          </w:p>
        </w:tc>
        <w:tc>
          <w:tcPr>
            <w:tcW w:w="1978" w:type="dxa"/>
          </w:tcPr>
          <w:p w14:paraId="5EEA0ED4" w14:textId="77777777" w:rsidR="00084260" w:rsidRPr="009E52C2" w:rsidRDefault="00084260" w:rsidP="00654974">
            <w:pPr>
              <w:spacing w:line="360" w:lineRule="auto"/>
              <w:jc w:val="center"/>
              <w:rPr>
                <w:rFonts w:ascii="Times New Roman" w:hAnsi="Times New Roman" w:cs="Times New Roman"/>
              </w:rPr>
            </w:pPr>
            <w:r w:rsidRPr="009E52C2">
              <w:rPr>
                <w:rFonts w:ascii="Times New Roman" w:hAnsi="Times New Roman" w:cs="Times New Roman"/>
              </w:rPr>
              <w:t>105</w:t>
            </w:r>
          </w:p>
        </w:tc>
      </w:tr>
    </w:tbl>
    <w:p w14:paraId="29492533" w14:textId="2F5E6B0E" w:rsidR="00084260" w:rsidRDefault="00084260" w:rsidP="00084260">
      <w:pPr>
        <w:pStyle w:val="ListParagraph"/>
        <w:spacing w:after="240" w:line="240" w:lineRule="auto"/>
        <w:ind w:left="0"/>
        <w:jc w:val="both"/>
        <w:rPr>
          <w:rFonts w:ascii="Times New Roman" w:hAnsi="Times New Roman" w:cs="Times New Roman"/>
          <w:sz w:val="24"/>
          <w:szCs w:val="24"/>
        </w:rPr>
      </w:pPr>
      <w:r>
        <w:rPr>
          <w:rFonts w:ascii="Times New Roman" w:hAnsi="Times New Roman" w:cs="Times New Roman"/>
          <w:sz w:val="24"/>
          <w:szCs w:val="24"/>
        </w:rPr>
        <w:t>Sumber: Hasil Olah Data Penelitian (2025)</w:t>
      </w:r>
    </w:p>
    <w:p w14:paraId="11A91242" w14:textId="64213E6D" w:rsidR="00C01985" w:rsidRDefault="00C01985" w:rsidP="000D7DA7">
      <w:pPr>
        <w:jc w:val="both"/>
        <w:rPr>
          <w:b/>
          <w:bCs/>
        </w:rPr>
      </w:pPr>
      <w:r w:rsidRPr="00C01985">
        <w:rPr>
          <w:b/>
          <w:bCs/>
        </w:rPr>
        <w:t>Metode Analisis</w:t>
      </w:r>
    </w:p>
    <w:p w14:paraId="20BF2F18" w14:textId="50EBCCD3" w:rsidR="000D7DA7" w:rsidRPr="000D7DA7" w:rsidRDefault="000D7DA7" w:rsidP="00F91D99">
      <w:pPr>
        <w:spacing w:after="80"/>
        <w:ind w:firstLine="709"/>
        <w:jc w:val="both"/>
      </w:pPr>
      <w:r w:rsidRPr="000D7DA7">
        <w:t xml:space="preserve">Metode analisis data dalam penelitian ini menggunakan pendekatan kuantitatif dengan teknik </w:t>
      </w:r>
      <w:r w:rsidRPr="000D7DA7">
        <w:rPr>
          <w:i/>
          <w:iCs/>
        </w:rPr>
        <w:t>Partial Least Squares Structural Equation Modelling</w:t>
      </w:r>
      <w:r w:rsidRPr="000D7DA7">
        <w:t xml:space="preserve"> (PLS-SEM) yang diolah menggunakan perangkat lunak SmartPLS versi 4. Metode ini digunakan untuk menganalisis hubungan antara variabel independen dan variabel dependen dalam model penelitian. Analisis PLS-SEM terdiri dari dua tahapan utama, yaitu evaluasi model pengukuran (</w:t>
      </w:r>
      <w:r w:rsidRPr="000D7DA7">
        <w:rPr>
          <w:i/>
          <w:iCs/>
        </w:rPr>
        <w:t>outer model</w:t>
      </w:r>
      <w:r w:rsidRPr="000D7DA7">
        <w:t>) dan model struktural (</w:t>
      </w:r>
      <w:r w:rsidRPr="000D7DA7">
        <w:rPr>
          <w:i/>
          <w:iCs/>
        </w:rPr>
        <w:t>inner model</w:t>
      </w:r>
      <w:r w:rsidRPr="000D7DA7">
        <w:t xml:space="preserve">). Evaluasi </w:t>
      </w:r>
      <w:r w:rsidRPr="000D7DA7">
        <w:rPr>
          <w:i/>
          <w:iCs/>
        </w:rPr>
        <w:t>outer</w:t>
      </w:r>
      <w:r w:rsidRPr="000D7DA7">
        <w:t xml:space="preserve"> </w:t>
      </w:r>
      <w:r w:rsidRPr="000D7DA7">
        <w:rPr>
          <w:i/>
          <w:iCs/>
        </w:rPr>
        <w:t>model</w:t>
      </w:r>
      <w:r w:rsidRPr="000D7DA7">
        <w:t xml:space="preserve"> bertujuan untuk memastikan bahwa indikator yang digunakan dalam penelitian valid dan reliabel dalam mengukur konstruk laten, sedangkan evaluasi </w:t>
      </w:r>
      <w:r w:rsidRPr="000D7DA7">
        <w:rPr>
          <w:i/>
          <w:iCs/>
        </w:rPr>
        <w:t>inner</w:t>
      </w:r>
      <w:r w:rsidRPr="000D7DA7">
        <w:t xml:space="preserve"> </w:t>
      </w:r>
      <w:r w:rsidRPr="000D7DA7">
        <w:rPr>
          <w:i/>
          <w:iCs/>
        </w:rPr>
        <w:t>model</w:t>
      </w:r>
      <w:r w:rsidRPr="000D7DA7">
        <w:t xml:space="preserve"> digunakan untuk menganalisis hubungan kausal antar variabel dalam model penelitian.</w:t>
      </w:r>
    </w:p>
    <w:p w14:paraId="4CB15DD0" w14:textId="6E3A62C3" w:rsidR="000D7DA7" w:rsidRPr="000D7DA7" w:rsidRDefault="000D7DA7" w:rsidP="00F91D99">
      <w:pPr>
        <w:spacing w:after="80"/>
        <w:ind w:firstLine="709"/>
        <w:jc w:val="both"/>
      </w:pPr>
      <w:r w:rsidRPr="000D7DA7">
        <w:t>Analisis data diawali dengan uji statistik deskriptif untuk memberikan gambaran umum mengenai karakteristik data penelitian. Uji ini menyajikan informasi mengenai nilai minimum, maksimum, rata-rata (</w:t>
      </w:r>
      <w:r w:rsidRPr="000D7DA7">
        <w:rPr>
          <w:i/>
          <w:iCs/>
        </w:rPr>
        <w:t>mean</w:t>
      </w:r>
      <w:r w:rsidRPr="000D7DA7">
        <w:t>), serta standar deviasi dari setiap variabel penelitian. Statistik deskriptif membantu peneliti memahami pola distribusi data serta memberikan gambaran awal mengenai kondisi variabel yang digunakan sebelum dilakukan analisis lanjutan.</w:t>
      </w:r>
    </w:p>
    <w:p w14:paraId="0E729AB7" w14:textId="3A781205" w:rsidR="000D7DA7" w:rsidRPr="000D7DA7" w:rsidRDefault="000D7DA7" w:rsidP="00F91D99">
      <w:pPr>
        <w:spacing w:after="80"/>
        <w:ind w:firstLine="709"/>
        <w:jc w:val="both"/>
      </w:pPr>
      <w:r w:rsidRPr="000D7DA7">
        <w:t>Selanjutnya dilakukan evaluasi model pengukuran (</w:t>
      </w:r>
      <w:r w:rsidRPr="000D7DA7">
        <w:rPr>
          <w:i/>
          <w:iCs/>
        </w:rPr>
        <w:t>outer</w:t>
      </w:r>
      <w:r w:rsidRPr="000D7DA7">
        <w:t xml:space="preserve"> </w:t>
      </w:r>
      <w:r w:rsidRPr="000D7DA7">
        <w:rPr>
          <w:i/>
          <w:iCs/>
        </w:rPr>
        <w:t>model</w:t>
      </w:r>
      <w:r w:rsidRPr="000D7DA7">
        <w:t xml:space="preserve">) untuk menilai kelayakan indikator dalam merepresentasikan konstruk laten. Pengujian ini mencakup pengujian validitas dan reliabilitas indikator. Validitas konvergen dievaluasi melalui nilai </w:t>
      </w:r>
      <w:r w:rsidRPr="000D7DA7">
        <w:rPr>
          <w:i/>
          <w:iCs/>
        </w:rPr>
        <w:t>outer</w:t>
      </w:r>
      <w:r w:rsidRPr="000D7DA7">
        <w:t xml:space="preserve"> </w:t>
      </w:r>
      <w:r w:rsidRPr="000D7DA7">
        <w:rPr>
          <w:i/>
          <w:iCs/>
        </w:rPr>
        <w:t>loading</w:t>
      </w:r>
      <w:r w:rsidRPr="000D7DA7">
        <w:t xml:space="preserve">, di mana indikator dinyatakan valid apabila memiliki nilai </w:t>
      </w:r>
      <w:r w:rsidRPr="000D7DA7">
        <w:rPr>
          <w:i/>
          <w:iCs/>
        </w:rPr>
        <w:t>loading</w:t>
      </w:r>
      <w:r w:rsidRPr="000D7DA7">
        <w:t xml:space="preserve"> yang memadai. Selain itu, pada model formatif dilakukan pengujian signifikansi nilai </w:t>
      </w:r>
      <w:r w:rsidRPr="000D7DA7">
        <w:rPr>
          <w:i/>
          <w:iCs/>
        </w:rPr>
        <w:t>outer</w:t>
      </w:r>
      <w:r w:rsidRPr="000D7DA7">
        <w:t xml:space="preserve"> </w:t>
      </w:r>
      <w:r w:rsidRPr="000D7DA7">
        <w:rPr>
          <w:i/>
          <w:iCs/>
        </w:rPr>
        <w:t>weight</w:t>
      </w:r>
      <w:r w:rsidRPr="000D7DA7">
        <w:t xml:space="preserve"> melalui prosedur </w:t>
      </w:r>
      <w:r w:rsidRPr="000D7DA7">
        <w:rPr>
          <w:i/>
          <w:iCs/>
        </w:rPr>
        <w:t>bootstrapping</w:t>
      </w:r>
      <w:r w:rsidRPr="000D7DA7">
        <w:t xml:space="preserve"> untuk mengetahui kontribusi masing-masing indikator dalam membentuk konstruk laten. Pengujian ini juga dilengkapi dengan uji multikolinearitas menggunakan </w:t>
      </w:r>
      <w:r w:rsidRPr="000D7DA7">
        <w:rPr>
          <w:i/>
          <w:iCs/>
        </w:rPr>
        <w:t>Variance Inflation Factor</w:t>
      </w:r>
      <w:r w:rsidRPr="000D7DA7">
        <w:t xml:space="preserve"> (VIF) guna memastikan tidak terdapat korelasi berlebihan antar indikator dalam model penelitian.</w:t>
      </w:r>
    </w:p>
    <w:p w14:paraId="4705F5EF" w14:textId="7775FF8F" w:rsidR="000D7DA7" w:rsidRPr="000D7DA7" w:rsidRDefault="000D7DA7" w:rsidP="00F91D99">
      <w:pPr>
        <w:spacing w:after="80"/>
        <w:ind w:firstLine="709"/>
        <w:jc w:val="both"/>
      </w:pPr>
      <w:r w:rsidRPr="000D7DA7">
        <w:lastRenderedPageBreak/>
        <w:t>Setelah model pengukuran dinyatakan memenuhi kriteria, tahap selanjutnya adalah evaluasi model struktural (</w:t>
      </w:r>
      <w:r w:rsidRPr="000D7DA7">
        <w:rPr>
          <w:i/>
          <w:iCs/>
        </w:rPr>
        <w:t>inner</w:t>
      </w:r>
      <w:r w:rsidRPr="000D7DA7">
        <w:t xml:space="preserve"> </w:t>
      </w:r>
      <w:r w:rsidRPr="000D7DA7">
        <w:rPr>
          <w:i/>
          <w:iCs/>
        </w:rPr>
        <w:t>model</w:t>
      </w:r>
      <w:r w:rsidRPr="000D7DA7">
        <w:t>) untuk menguji hubungan antar variabel laten. Evaluasi ini dilakukan melalui beberapa pengujian, yaitu koefisien determinasi (R-</w:t>
      </w:r>
      <w:r w:rsidRPr="000D7DA7">
        <w:rPr>
          <w:i/>
          <w:iCs/>
        </w:rPr>
        <w:t>square</w:t>
      </w:r>
      <w:r w:rsidRPr="000D7DA7">
        <w:t xml:space="preserve">) untuk menilai kemampuan variabel independen dalam menjelaskan variabel dependen, pengujian </w:t>
      </w:r>
      <w:r w:rsidRPr="000D7DA7">
        <w:rPr>
          <w:i/>
          <w:iCs/>
        </w:rPr>
        <w:t>effect</w:t>
      </w:r>
      <w:r w:rsidRPr="000D7DA7">
        <w:t xml:space="preserve"> </w:t>
      </w:r>
      <w:r w:rsidRPr="000D7DA7">
        <w:rPr>
          <w:i/>
          <w:iCs/>
        </w:rPr>
        <w:t>size</w:t>
      </w:r>
      <w:r w:rsidRPr="000D7DA7">
        <w:t xml:space="preserve"> (f²) untuk mengetahui besarnya kontribusi masing-masing variabel independen terhadap variabel dependen, serta pengujian </w:t>
      </w:r>
      <w:r w:rsidRPr="000D7DA7">
        <w:rPr>
          <w:i/>
          <w:iCs/>
        </w:rPr>
        <w:t>predictive</w:t>
      </w:r>
      <w:r w:rsidRPr="000D7DA7">
        <w:t xml:space="preserve"> </w:t>
      </w:r>
      <w:r w:rsidRPr="000D7DA7">
        <w:rPr>
          <w:i/>
          <w:iCs/>
        </w:rPr>
        <w:t>relevance</w:t>
      </w:r>
      <w:r w:rsidRPr="000D7DA7">
        <w:t xml:space="preserve"> (Q²) untuk menilai kemampuan prediktif model. Selain itu, pengujian model fit juga dilakukan untuk menilai kesesuaian model penelitian dengan data empiris yang digunakan.</w:t>
      </w:r>
    </w:p>
    <w:p w14:paraId="245D324E" w14:textId="7F6FD5DE" w:rsidR="000D7DA7" w:rsidRPr="000D7DA7" w:rsidRDefault="000D7DA7" w:rsidP="000D7DA7">
      <w:pPr>
        <w:ind w:firstLine="709"/>
        <w:jc w:val="both"/>
      </w:pPr>
      <w:r w:rsidRPr="000D7DA7">
        <w:t xml:space="preserve">Pengujian hipotesis dalam penelitian ini dilakukan menggunakan teknik </w:t>
      </w:r>
      <w:r w:rsidRPr="000D7DA7">
        <w:rPr>
          <w:i/>
          <w:iCs/>
        </w:rPr>
        <w:t>bootstrapping</w:t>
      </w:r>
      <w:r w:rsidRPr="000D7DA7">
        <w:t xml:space="preserve"> pada SmartPLS. Metode ini menghasilkan nilai </w:t>
      </w:r>
      <w:r w:rsidRPr="000D7DA7">
        <w:rPr>
          <w:i/>
          <w:iCs/>
        </w:rPr>
        <w:t>path</w:t>
      </w:r>
      <w:r w:rsidRPr="000D7DA7">
        <w:t xml:space="preserve"> </w:t>
      </w:r>
      <w:r w:rsidRPr="000D7DA7">
        <w:rPr>
          <w:i/>
          <w:iCs/>
        </w:rPr>
        <w:t>coefficient</w:t>
      </w:r>
      <w:r w:rsidRPr="000D7DA7">
        <w:t>, t-</w:t>
      </w:r>
      <w:r w:rsidRPr="000D7DA7">
        <w:rPr>
          <w:i/>
          <w:iCs/>
        </w:rPr>
        <w:t>statistic</w:t>
      </w:r>
      <w:r w:rsidRPr="000D7DA7">
        <w:t>, dan p-</w:t>
      </w:r>
      <w:r w:rsidRPr="000D7DA7">
        <w:rPr>
          <w:i/>
          <w:iCs/>
        </w:rPr>
        <w:t>value</w:t>
      </w:r>
      <w:r w:rsidRPr="000D7DA7">
        <w:t xml:space="preserve"> yang digunakan untuk menilai signifikansi hubungan antar variabel dalam model penelitian. Hipotesis dinyatakan signifikan apabila nilai t-</w:t>
      </w:r>
      <w:r w:rsidRPr="000D7DA7">
        <w:rPr>
          <w:i/>
          <w:iCs/>
        </w:rPr>
        <w:t>statistic</w:t>
      </w:r>
      <w:r w:rsidRPr="000D7DA7">
        <w:t xml:space="preserve"> ≥ 1,96 atau p-value &lt; 0,05 pada tingkat signifikansi 5%. Nilai koefisien jalur menunjukkan arah dan kekuatan hubungan antara variabel independen dan variabel dependen dalam model penelitian</w:t>
      </w:r>
      <w:r w:rsidR="00E06403">
        <w:t xml:space="preserve"> </w:t>
      </w:r>
      <w:r w:rsidR="00E06403">
        <w:fldChar w:fldCharType="begin" w:fldLock="1"/>
      </w:r>
      <w:r w:rsidR="00496977">
        <w:instrText>ADDIN CSL_CITATION {"citationItems":[{"id":"ITEM-1","itemData":{"author":[{"dropping-particle":"","family":"Ghozali","given":"I.","non-dropping-particle":"","parse-names":false,"suffix":""},{"dropping-particle":"","family":"Latan","given":"H.","non-dropping-particle":"","parse-names":false,"suffix":""}],"edition":"3rd","id":"ITEM-1","issued":{"date-parts":[["2020"]]},"publisher":"Badan Penerbit Undip","title":"Partial Least Squares : Konsep, Teknik dan Aplikasi Menggunakan Program SmartPLS 3.2.9 Untuk Penelitian Empiris","type":"book"},"uris":["http://www.mendeley.com/documents/?uuid=51404c3f-690d-41c5-8135-9fa534b6b135"]},{"id":"ITEM-2","itemData":{"author":[{"dropping-particle":"","family":"Ghozali","given":"I.","non-dropping-particle":"","parse-names":false,"suffix":""},{"dropping-particle":"","family":"Kusumadewi","given":"K. A.","non-dropping-particle":"","parse-names":false,"suffix":""}],"edition":"1st","id":"ITEM-2","issued":{"date-parts":[["2023"]]},"title":"Partial Least Squares : Konsep, Teknik, Dan Aplikasi Menggunakan Program SmartPLS 4.0 Untuk Penelitian Empiris","type":"book"},"uris":["http://www.mendeley.com/documents/?uuid=92cf1380-45bc-4744-86f4-fb6177387f68"]}],"mendeley":{"formattedCitation":"(Ghozali &amp; Kusumadewi, 2023; Ghozali &amp; Latan, 2020)","plainTextFormattedCitation":"(Ghozali &amp; Kusumadewi, 2023; Ghozali &amp; Latan, 2020)","previouslyFormattedCitation":"(Ghozali &amp; Kusumadewi, 2023; Ghozali &amp; Latan, 2020)"},"properties":{"noteIndex":0},"schema":"https://github.com/citation-style-language/schema/raw/master/csl-citation.json"}</w:instrText>
      </w:r>
      <w:r w:rsidR="00E06403">
        <w:fldChar w:fldCharType="separate"/>
      </w:r>
      <w:r w:rsidR="00E06403" w:rsidRPr="00E06403">
        <w:rPr>
          <w:noProof/>
        </w:rPr>
        <w:t>(Ghozali &amp; Kusumadewi, 2023; Ghozali &amp; Latan, 2020)</w:t>
      </w:r>
      <w:r w:rsidR="00E06403">
        <w:fldChar w:fldCharType="end"/>
      </w:r>
      <w:r w:rsidRPr="000D7DA7">
        <w:t>.</w:t>
      </w:r>
    </w:p>
    <w:p w14:paraId="6F34CB6E" w14:textId="520D3541" w:rsidR="00084260" w:rsidRPr="00084260" w:rsidRDefault="00084260" w:rsidP="0076299B">
      <w:pPr>
        <w:pStyle w:val="Caption"/>
        <w:keepNext/>
        <w:spacing w:before="120"/>
        <w:jc w:val="center"/>
        <w:rPr>
          <w:sz w:val="24"/>
          <w:szCs w:val="24"/>
        </w:rPr>
      </w:pPr>
      <w:r w:rsidRPr="00084260">
        <w:rPr>
          <w:sz w:val="24"/>
          <w:szCs w:val="24"/>
        </w:rPr>
        <w:t xml:space="preserve">Tabel </w:t>
      </w:r>
      <w:r w:rsidRPr="00084260">
        <w:rPr>
          <w:sz w:val="24"/>
          <w:szCs w:val="24"/>
        </w:rPr>
        <w:fldChar w:fldCharType="begin"/>
      </w:r>
      <w:r w:rsidRPr="00084260">
        <w:rPr>
          <w:sz w:val="24"/>
          <w:szCs w:val="24"/>
        </w:rPr>
        <w:instrText xml:space="preserve"> SEQ Tabel \* ARABIC </w:instrText>
      </w:r>
      <w:r w:rsidRPr="00084260">
        <w:rPr>
          <w:sz w:val="24"/>
          <w:szCs w:val="24"/>
        </w:rPr>
        <w:fldChar w:fldCharType="separate"/>
      </w:r>
      <w:r w:rsidR="005543C9">
        <w:rPr>
          <w:noProof/>
          <w:sz w:val="24"/>
          <w:szCs w:val="24"/>
        </w:rPr>
        <w:t>2</w:t>
      </w:r>
      <w:r w:rsidRPr="00084260">
        <w:rPr>
          <w:sz w:val="24"/>
          <w:szCs w:val="24"/>
        </w:rPr>
        <w:fldChar w:fldCharType="end"/>
      </w:r>
      <w:r w:rsidRPr="00084260">
        <w:rPr>
          <w:sz w:val="24"/>
          <w:szCs w:val="24"/>
        </w:rPr>
        <w:t>. Variabel dan Pengukuran</w:t>
      </w:r>
    </w:p>
    <w:tbl>
      <w:tblPr>
        <w:tblW w:w="8681" w:type="dxa"/>
        <w:tblInd w:w="108" w:type="dxa"/>
        <w:tblLook w:val="04A0" w:firstRow="1" w:lastRow="0" w:firstColumn="1" w:lastColumn="0" w:noHBand="0" w:noVBand="1"/>
      </w:tblPr>
      <w:tblGrid>
        <w:gridCol w:w="3828"/>
        <w:gridCol w:w="4853"/>
      </w:tblGrid>
      <w:tr w:rsidR="00084260" w14:paraId="3BB3A1A5" w14:textId="77777777" w:rsidTr="000D7DA7">
        <w:trPr>
          <w:trHeight w:val="315"/>
        </w:trPr>
        <w:tc>
          <w:tcPr>
            <w:tcW w:w="3828" w:type="dxa"/>
            <w:tcBorders>
              <w:top w:val="single" w:sz="4" w:space="0" w:color="000000"/>
              <w:left w:val="nil"/>
              <w:bottom w:val="single" w:sz="4" w:space="0" w:color="000000"/>
              <w:right w:val="nil"/>
            </w:tcBorders>
            <w:vAlign w:val="center"/>
            <w:hideMark/>
          </w:tcPr>
          <w:p w14:paraId="576D207D" w14:textId="77777777" w:rsidR="00084260" w:rsidRDefault="00084260" w:rsidP="00A11D2F">
            <w:pPr>
              <w:jc w:val="center"/>
              <w:rPr>
                <w:b/>
                <w:bCs/>
                <w:color w:val="000000"/>
              </w:rPr>
            </w:pPr>
            <w:r>
              <w:rPr>
                <w:b/>
                <w:bCs/>
                <w:color w:val="000000"/>
              </w:rPr>
              <w:t>Variabel</w:t>
            </w:r>
          </w:p>
        </w:tc>
        <w:tc>
          <w:tcPr>
            <w:tcW w:w="4853" w:type="dxa"/>
            <w:tcBorders>
              <w:top w:val="single" w:sz="4" w:space="0" w:color="000000"/>
              <w:left w:val="nil"/>
              <w:bottom w:val="single" w:sz="4" w:space="0" w:color="000000"/>
              <w:right w:val="nil"/>
            </w:tcBorders>
            <w:vAlign w:val="center"/>
            <w:hideMark/>
          </w:tcPr>
          <w:p w14:paraId="10843A0C" w14:textId="77777777" w:rsidR="00084260" w:rsidRDefault="00084260" w:rsidP="00A11D2F">
            <w:pPr>
              <w:jc w:val="center"/>
              <w:rPr>
                <w:b/>
                <w:bCs/>
                <w:color w:val="000000"/>
              </w:rPr>
            </w:pPr>
            <w:r>
              <w:rPr>
                <w:b/>
                <w:bCs/>
                <w:color w:val="000000"/>
              </w:rPr>
              <w:t>Pengukuran</w:t>
            </w:r>
          </w:p>
        </w:tc>
      </w:tr>
      <w:tr w:rsidR="00084260" w14:paraId="3DE65F90" w14:textId="77777777" w:rsidTr="000D7DA7">
        <w:trPr>
          <w:trHeight w:val="945"/>
        </w:trPr>
        <w:tc>
          <w:tcPr>
            <w:tcW w:w="3828" w:type="dxa"/>
            <w:tcBorders>
              <w:top w:val="nil"/>
              <w:left w:val="nil"/>
              <w:bottom w:val="nil"/>
              <w:right w:val="nil"/>
            </w:tcBorders>
            <w:vAlign w:val="center"/>
            <w:hideMark/>
          </w:tcPr>
          <w:p w14:paraId="754D1520" w14:textId="77777777" w:rsidR="00084260" w:rsidRDefault="00084260" w:rsidP="00A11D2F">
            <w:pPr>
              <w:rPr>
                <w:i/>
                <w:iCs/>
                <w:color w:val="000000"/>
              </w:rPr>
            </w:pPr>
            <w:r>
              <w:rPr>
                <w:i/>
                <w:iCs/>
                <w:color w:val="000000"/>
              </w:rPr>
              <w:t>Tax Evasion</w:t>
            </w:r>
          </w:p>
        </w:tc>
        <w:tc>
          <w:tcPr>
            <w:tcW w:w="4853" w:type="dxa"/>
            <w:tcBorders>
              <w:top w:val="nil"/>
              <w:left w:val="nil"/>
              <w:bottom w:val="nil"/>
              <w:right w:val="nil"/>
            </w:tcBorders>
            <w:vAlign w:val="center"/>
            <w:hideMark/>
          </w:tcPr>
          <w:p w14:paraId="293052D4" w14:textId="330819A8" w:rsidR="00084260" w:rsidRDefault="00084260" w:rsidP="00A11D2F">
            <w:pPr>
              <w:jc w:val="both"/>
              <w:rPr>
                <w:color w:val="000000"/>
              </w:rPr>
            </w:pPr>
            <w:r>
              <w:rPr>
                <w:color w:val="000000"/>
              </w:rPr>
              <w:t xml:space="preserve">GAAP ETR = Total Beban Pajak / Laba Sebelum Pajak, </w:t>
            </w:r>
            <w:r>
              <w:rPr>
                <w:i/>
                <w:iCs/>
                <w:color w:val="000000"/>
              </w:rPr>
              <w:t>Current</w:t>
            </w:r>
            <w:r>
              <w:rPr>
                <w:color w:val="000000"/>
              </w:rPr>
              <w:t xml:space="preserve"> ETR = Beban Pajak Kini / Laba Sebelum Pajak.</w:t>
            </w:r>
          </w:p>
        </w:tc>
      </w:tr>
      <w:tr w:rsidR="00084260" w14:paraId="252286BD" w14:textId="77777777" w:rsidTr="000D7DA7">
        <w:trPr>
          <w:trHeight w:val="630"/>
        </w:trPr>
        <w:tc>
          <w:tcPr>
            <w:tcW w:w="3828" w:type="dxa"/>
            <w:tcBorders>
              <w:top w:val="nil"/>
              <w:left w:val="nil"/>
              <w:bottom w:val="nil"/>
              <w:right w:val="nil"/>
            </w:tcBorders>
            <w:vAlign w:val="center"/>
            <w:hideMark/>
          </w:tcPr>
          <w:p w14:paraId="49ECFB44" w14:textId="77777777" w:rsidR="00084260" w:rsidRDefault="00084260" w:rsidP="00A11D2F">
            <w:pPr>
              <w:rPr>
                <w:color w:val="000000"/>
              </w:rPr>
            </w:pPr>
            <w:r>
              <w:rPr>
                <w:color w:val="000000"/>
              </w:rPr>
              <w:t>Spesialisasi Industri Auditor</w:t>
            </w:r>
          </w:p>
        </w:tc>
        <w:tc>
          <w:tcPr>
            <w:tcW w:w="4853" w:type="dxa"/>
            <w:tcBorders>
              <w:top w:val="nil"/>
              <w:left w:val="nil"/>
              <w:bottom w:val="nil"/>
              <w:right w:val="nil"/>
            </w:tcBorders>
            <w:vAlign w:val="center"/>
            <w:hideMark/>
          </w:tcPr>
          <w:p w14:paraId="23704562" w14:textId="77777777" w:rsidR="00084260" w:rsidRDefault="00084260" w:rsidP="00A11D2F">
            <w:pPr>
              <w:jc w:val="both"/>
              <w:rPr>
                <w:color w:val="000000"/>
              </w:rPr>
            </w:pPr>
            <w:r>
              <w:rPr>
                <w:color w:val="000000"/>
              </w:rPr>
              <w:t>Variabel dummy. Kode 1 untuk auditor yang memiliki spesialisasi dan kode 0 untuk yang auditor tidak memiliki spesialisasi.</w:t>
            </w:r>
          </w:p>
        </w:tc>
      </w:tr>
      <w:tr w:rsidR="00084260" w14:paraId="4C3F227B" w14:textId="77777777" w:rsidTr="000D7DA7">
        <w:trPr>
          <w:trHeight w:val="315"/>
        </w:trPr>
        <w:tc>
          <w:tcPr>
            <w:tcW w:w="3828" w:type="dxa"/>
            <w:tcBorders>
              <w:top w:val="nil"/>
              <w:left w:val="nil"/>
              <w:bottom w:val="nil"/>
              <w:right w:val="nil"/>
            </w:tcBorders>
            <w:vAlign w:val="center"/>
            <w:hideMark/>
          </w:tcPr>
          <w:p w14:paraId="3897B4BC" w14:textId="77777777" w:rsidR="00084260" w:rsidRDefault="00084260" w:rsidP="00A11D2F">
            <w:pPr>
              <w:rPr>
                <w:i/>
                <w:iCs/>
                <w:color w:val="000000"/>
              </w:rPr>
            </w:pPr>
            <w:r>
              <w:rPr>
                <w:i/>
                <w:iCs/>
                <w:color w:val="000000"/>
              </w:rPr>
              <w:t>Audit Fee</w:t>
            </w:r>
          </w:p>
        </w:tc>
        <w:tc>
          <w:tcPr>
            <w:tcW w:w="4853" w:type="dxa"/>
            <w:tcBorders>
              <w:top w:val="nil"/>
              <w:left w:val="nil"/>
              <w:bottom w:val="nil"/>
              <w:right w:val="nil"/>
            </w:tcBorders>
            <w:vAlign w:val="center"/>
            <w:hideMark/>
          </w:tcPr>
          <w:p w14:paraId="2EFD735A" w14:textId="77777777" w:rsidR="00084260" w:rsidRDefault="00084260" w:rsidP="00A11D2F">
            <w:pPr>
              <w:jc w:val="both"/>
              <w:rPr>
                <w:color w:val="000000"/>
              </w:rPr>
            </w:pPr>
            <w:r>
              <w:rPr>
                <w:color w:val="000000"/>
              </w:rPr>
              <w:t>Ln Biaya Audit</w:t>
            </w:r>
          </w:p>
        </w:tc>
      </w:tr>
      <w:tr w:rsidR="00084260" w14:paraId="401384A9" w14:textId="77777777" w:rsidTr="000D7DA7">
        <w:trPr>
          <w:trHeight w:val="315"/>
        </w:trPr>
        <w:tc>
          <w:tcPr>
            <w:tcW w:w="3828" w:type="dxa"/>
            <w:tcBorders>
              <w:top w:val="nil"/>
              <w:left w:val="nil"/>
              <w:bottom w:val="nil"/>
              <w:right w:val="nil"/>
            </w:tcBorders>
            <w:vAlign w:val="center"/>
            <w:hideMark/>
          </w:tcPr>
          <w:p w14:paraId="2D1A99E8" w14:textId="77777777" w:rsidR="00084260" w:rsidRDefault="00084260" w:rsidP="00A11D2F">
            <w:pPr>
              <w:rPr>
                <w:i/>
                <w:iCs/>
                <w:color w:val="000000"/>
              </w:rPr>
            </w:pPr>
            <w:r>
              <w:rPr>
                <w:i/>
                <w:iCs/>
                <w:color w:val="000000"/>
              </w:rPr>
              <w:t>Audit Tenure</w:t>
            </w:r>
          </w:p>
        </w:tc>
        <w:tc>
          <w:tcPr>
            <w:tcW w:w="4853" w:type="dxa"/>
            <w:tcBorders>
              <w:top w:val="nil"/>
              <w:left w:val="nil"/>
              <w:bottom w:val="nil"/>
              <w:right w:val="nil"/>
            </w:tcBorders>
            <w:vAlign w:val="center"/>
            <w:hideMark/>
          </w:tcPr>
          <w:p w14:paraId="708F2F39" w14:textId="77777777" w:rsidR="00084260" w:rsidRDefault="00084260" w:rsidP="00A11D2F">
            <w:pPr>
              <w:jc w:val="both"/>
              <w:rPr>
                <w:color w:val="000000"/>
              </w:rPr>
            </w:pPr>
            <w:r>
              <w:rPr>
                <w:color w:val="000000"/>
              </w:rPr>
              <w:t>Jumlah tahun berturut auditor eksternal memberikan jasa audit.</w:t>
            </w:r>
          </w:p>
        </w:tc>
      </w:tr>
      <w:tr w:rsidR="00084260" w14:paraId="020F989B" w14:textId="77777777" w:rsidTr="000D7DA7">
        <w:trPr>
          <w:trHeight w:val="315"/>
        </w:trPr>
        <w:tc>
          <w:tcPr>
            <w:tcW w:w="3828" w:type="dxa"/>
            <w:tcBorders>
              <w:top w:val="nil"/>
              <w:left w:val="nil"/>
              <w:bottom w:val="nil"/>
              <w:right w:val="nil"/>
            </w:tcBorders>
            <w:vAlign w:val="center"/>
            <w:hideMark/>
          </w:tcPr>
          <w:p w14:paraId="47D5110D" w14:textId="77777777" w:rsidR="00084260" w:rsidRDefault="00084260" w:rsidP="00A11D2F">
            <w:pPr>
              <w:rPr>
                <w:i/>
                <w:iCs/>
                <w:color w:val="000000"/>
              </w:rPr>
            </w:pPr>
            <w:r>
              <w:rPr>
                <w:i/>
                <w:iCs/>
                <w:color w:val="000000"/>
              </w:rPr>
              <w:t>Leverage</w:t>
            </w:r>
          </w:p>
        </w:tc>
        <w:tc>
          <w:tcPr>
            <w:tcW w:w="4853" w:type="dxa"/>
            <w:tcBorders>
              <w:top w:val="nil"/>
              <w:left w:val="nil"/>
              <w:bottom w:val="nil"/>
              <w:right w:val="nil"/>
            </w:tcBorders>
            <w:vAlign w:val="center"/>
            <w:hideMark/>
          </w:tcPr>
          <w:p w14:paraId="53FBE867" w14:textId="77777777" w:rsidR="00084260" w:rsidRDefault="00084260" w:rsidP="00A11D2F">
            <w:pPr>
              <w:jc w:val="both"/>
              <w:rPr>
                <w:color w:val="000000"/>
              </w:rPr>
            </w:pPr>
            <w:r>
              <w:rPr>
                <w:color w:val="000000"/>
              </w:rPr>
              <w:t>Total Hutang / Total Aset</w:t>
            </w:r>
          </w:p>
        </w:tc>
      </w:tr>
      <w:tr w:rsidR="00084260" w14:paraId="1E936CC4" w14:textId="77777777" w:rsidTr="000D7DA7">
        <w:trPr>
          <w:trHeight w:val="315"/>
        </w:trPr>
        <w:tc>
          <w:tcPr>
            <w:tcW w:w="3828" w:type="dxa"/>
            <w:tcBorders>
              <w:top w:val="nil"/>
              <w:left w:val="nil"/>
              <w:bottom w:val="nil"/>
              <w:right w:val="nil"/>
            </w:tcBorders>
            <w:vAlign w:val="center"/>
            <w:hideMark/>
          </w:tcPr>
          <w:p w14:paraId="2B5E15FA" w14:textId="77777777" w:rsidR="00084260" w:rsidRDefault="00084260" w:rsidP="00A11D2F">
            <w:pPr>
              <w:rPr>
                <w:color w:val="000000"/>
              </w:rPr>
            </w:pPr>
            <w:r>
              <w:rPr>
                <w:color w:val="000000"/>
              </w:rPr>
              <w:t>Ukuran Perusahaan</w:t>
            </w:r>
          </w:p>
        </w:tc>
        <w:tc>
          <w:tcPr>
            <w:tcW w:w="4853" w:type="dxa"/>
            <w:tcBorders>
              <w:top w:val="nil"/>
              <w:left w:val="nil"/>
              <w:bottom w:val="nil"/>
              <w:right w:val="nil"/>
            </w:tcBorders>
            <w:vAlign w:val="center"/>
            <w:hideMark/>
          </w:tcPr>
          <w:p w14:paraId="537DDCFB" w14:textId="77777777" w:rsidR="00084260" w:rsidRDefault="00084260" w:rsidP="00A11D2F">
            <w:pPr>
              <w:jc w:val="both"/>
              <w:rPr>
                <w:color w:val="000000"/>
              </w:rPr>
            </w:pPr>
            <w:r>
              <w:rPr>
                <w:color w:val="000000"/>
              </w:rPr>
              <w:t>Ln Total Aset Perusahaan</w:t>
            </w:r>
          </w:p>
        </w:tc>
      </w:tr>
      <w:tr w:rsidR="00084260" w14:paraId="271D9514" w14:textId="77777777" w:rsidTr="000D7DA7">
        <w:trPr>
          <w:trHeight w:val="315"/>
        </w:trPr>
        <w:tc>
          <w:tcPr>
            <w:tcW w:w="3828" w:type="dxa"/>
            <w:tcBorders>
              <w:top w:val="nil"/>
              <w:left w:val="nil"/>
              <w:bottom w:val="single" w:sz="4" w:space="0" w:color="000000"/>
              <w:right w:val="nil"/>
            </w:tcBorders>
            <w:vAlign w:val="center"/>
            <w:hideMark/>
          </w:tcPr>
          <w:p w14:paraId="18C05E0B" w14:textId="77777777" w:rsidR="00084260" w:rsidRDefault="00084260" w:rsidP="00A11D2F">
            <w:pPr>
              <w:rPr>
                <w:color w:val="000000"/>
              </w:rPr>
            </w:pPr>
            <w:r>
              <w:rPr>
                <w:color w:val="000000"/>
              </w:rPr>
              <w:t>ROA</w:t>
            </w:r>
          </w:p>
        </w:tc>
        <w:tc>
          <w:tcPr>
            <w:tcW w:w="4853" w:type="dxa"/>
            <w:tcBorders>
              <w:top w:val="nil"/>
              <w:left w:val="nil"/>
              <w:bottom w:val="single" w:sz="4" w:space="0" w:color="000000"/>
              <w:right w:val="nil"/>
            </w:tcBorders>
            <w:vAlign w:val="center"/>
            <w:hideMark/>
          </w:tcPr>
          <w:p w14:paraId="26E4805F" w14:textId="77777777" w:rsidR="00084260" w:rsidRDefault="00084260" w:rsidP="00A11D2F">
            <w:pPr>
              <w:jc w:val="both"/>
              <w:rPr>
                <w:color w:val="000000"/>
              </w:rPr>
            </w:pPr>
            <w:r>
              <w:rPr>
                <w:color w:val="000000"/>
              </w:rPr>
              <w:t>Laba Bersih / Total Aset</w:t>
            </w:r>
          </w:p>
        </w:tc>
      </w:tr>
    </w:tbl>
    <w:p w14:paraId="7F4EABF9" w14:textId="77777777" w:rsidR="007B3B70" w:rsidRPr="0044421A" w:rsidRDefault="007B3B70" w:rsidP="00953238">
      <w:pPr>
        <w:pStyle w:val="Heading1"/>
        <w:spacing w:before="360" w:line="240" w:lineRule="auto"/>
        <w:jc w:val="both"/>
      </w:pPr>
      <w:r w:rsidRPr="0044421A">
        <w:t>HASIL PENELITIAN DAN PEMBAHASAN</w:t>
      </w:r>
    </w:p>
    <w:p w14:paraId="5E28D5C7" w14:textId="6AC1EC55" w:rsidR="00AE2D68" w:rsidRDefault="00953238" w:rsidP="00F91D99">
      <w:pPr>
        <w:spacing w:after="120"/>
        <w:ind w:firstLine="709"/>
        <w:jc w:val="both"/>
      </w:pPr>
      <w:r w:rsidRPr="00953238">
        <w:t xml:space="preserve">Melalui pengujian yang telah dilakukan, penelitian ini bertujuan untuk mengetahui pengaruh </w:t>
      </w:r>
      <w:r>
        <w:t xml:space="preserve">spesialisasi industry auditor, </w:t>
      </w:r>
      <w:r>
        <w:rPr>
          <w:i/>
          <w:iCs/>
        </w:rPr>
        <w:t>audit fee</w:t>
      </w:r>
      <w:r>
        <w:t xml:space="preserve">, dan </w:t>
      </w:r>
      <w:r>
        <w:rPr>
          <w:i/>
          <w:iCs/>
        </w:rPr>
        <w:t>audit tenure</w:t>
      </w:r>
      <w:r>
        <w:t xml:space="preserve"> terhadap </w:t>
      </w:r>
      <w:r>
        <w:rPr>
          <w:i/>
          <w:iCs/>
        </w:rPr>
        <w:t>tax evasion</w:t>
      </w:r>
      <w:r w:rsidRPr="00953238">
        <w:t xml:space="preserve"> dengan terlebih dahulu dilakukan analisis statistik deskriptif.</w:t>
      </w:r>
    </w:p>
    <w:p w14:paraId="6104D6E0" w14:textId="507F96BB" w:rsidR="00F4159D" w:rsidRPr="00F4159D" w:rsidRDefault="00F4159D" w:rsidP="00F4159D">
      <w:pPr>
        <w:pStyle w:val="Caption"/>
        <w:keepNext/>
        <w:jc w:val="center"/>
        <w:rPr>
          <w:sz w:val="24"/>
          <w:szCs w:val="24"/>
        </w:rPr>
      </w:pPr>
      <w:r w:rsidRPr="00F4159D">
        <w:rPr>
          <w:sz w:val="24"/>
          <w:szCs w:val="24"/>
        </w:rPr>
        <w:t xml:space="preserve">Tabel </w:t>
      </w:r>
      <w:r w:rsidRPr="00F4159D">
        <w:rPr>
          <w:sz w:val="24"/>
          <w:szCs w:val="24"/>
        </w:rPr>
        <w:fldChar w:fldCharType="begin"/>
      </w:r>
      <w:r w:rsidRPr="00F4159D">
        <w:rPr>
          <w:sz w:val="24"/>
          <w:szCs w:val="24"/>
        </w:rPr>
        <w:instrText xml:space="preserve"> SEQ Tabel \* ARABIC </w:instrText>
      </w:r>
      <w:r w:rsidRPr="00F4159D">
        <w:rPr>
          <w:sz w:val="24"/>
          <w:szCs w:val="24"/>
        </w:rPr>
        <w:fldChar w:fldCharType="separate"/>
      </w:r>
      <w:r w:rsidR="005543C9">
        <w:rPr>
          <w:noProof/>
          <w:sz w:val="24"/>
          <w:szCs w:val="24"/>
        </w:rPr>
        <w:t>3</w:t>
      </w:r>
      <w:r w:rsidRPr="00F4159D">
        <w:rPr>
          <w:sz w:val="24"/>
          <w:szCs w:val="24"/>
        </w:rPr>
        <w:fldChar w:fldCharType="end"/>
      </w:r>
      <w:r>
        <w:rPr>
          <w:sz w:val="24"/>
          <w:szCs w:val="24"/>
        </w:rPr>
        <w:t>.</w:t>
      </w:r>
      <w:r w:rsidRPr="00F4159D">
        <w:rPr>
          <w:sz w:val="24"/>
          <w:szCs w:val="24"/>
        </w:rPr>
        <w:t xml:space="preserve"> Statistik Deskriptif</w:t>
      </w:r>
    </w:p>
    <w:tbl>
      <w:tblPr>
        <w:tblW w:w="8789" w:type="dxa"/>
        <w:tblInd w:w="108" w:type="dxa"/>
        <w:tblLook w:val="04A0" w:firstRow="1" w:lastRow="0" w:firstColumn="1" w:lastColumn="0" w:noHBand="0" w:noVBand="1"/>
      </w:tblPr>
      <w:tblGrid>
        <w:gridCol w:w="2199"/>
        <w:gridCol w:w="546"/>
        <w:gridCol w:w="1207"/>
        <w:gridCol w:w="1133"/>
        <w:gridCol w:w="1152"/>
        <w:gridCol w:w="993"/>
        <w:gridCol w:w="1559"/>
      </w:tblGrid>
      <w:tr w:rsidR="00953238" w14:paraId="1F47012D" w14:textId="77777777" w:rsidTr="00A06764">
        <w:trPr>
          <w:trHeight w:val="300"/>
        </w:trPr>
        <w:tc>
          <w:tcPr>
            <w:tcW w:w="2199" w:type="dxa"/>
            <w:tcBorders>
              <w:top w:val="single" w:sz="4" w:space="0" w:color="000000" w:themeColor="text1"/>
              <w:left w:val="nil"/>
              <w:bottom w:val="single" w:sz="4" w:space="0" w:color="auto"/>
              <w:right w:val="nil"/>
            </w:tcBorders>
            <w:shd w:val="clear" w:color="000000" w:fill="FFFFFF"/>
            <w:vAlign w:val="center"/>
            <w:hideMark/>
          </w:tcPr>
          <w:p w14:paraId="6598D63E" w14:textId="77777777" w:rsidR="00953238" w:rsidRPr="00953238" w:rsidRDefault="00953238">
            <w:pPr>
              <w:jc w:val="center"/>
              <w:rPr>
                <w:b/>
                <w:bCs/>
                <w:color w:val="000000" w:themeColor="text1"/>
                <w:sz w:val="22"/>
                <w:szCs w:val="22"/>
              </w:rPr>
            </w:pPr>
            <w:r w:rsidRPr="00953238">
              <w:rPr>
                <w:b/>
                <w:bCs/>
                <w:color w:val="000000" w:themeColor="text1"/>
                <w:sz w:val="22"/>
                <w:szCs w:val="22"/>
              </w:rPr>
              <w:t> </w:t>
            </w:r>
          </w:p>
        </w:tc>
        <w:tc>
          <w:tcPr>
            <w:tcW w:w="546" w:type="dxa"/>
            <w:tcBorders>
              <w:top w:val="single" w:sz="4" w:space="0" w:color="000000" w:themeColor="text1"/>
              <w:left w:val="nil"/>
              <w:bottom w:val="single" w:sz="4" w:space="0" w:color="auto"/>
              <w:right w:val="nil"/>
            </w:tcBorders>
            <w:shd w:val="clear" w:color="000000" w:fill="FFFFFF"/>
            <w:vAlign w:val="center"/>
            <w:hideMark/>
          </w:tcPr>
          <w:p w14:paraId="33600821" w14:textId="77777777" w:rsidR="00953238" w:rsidRPr="00953238" w:rsidRDefault="00953238">
            <w:pPr>
              <w:jc w:val="center"/>
              <w:rPr>
                <w:color w:val="000000" w:themeColor="text1"/>
                <w:sz w:val="22"/>
                <w:szCs w:val="22"/>
              </w:rPr>
            </w:pPr>
            <w:r w:rsidRPr="00953238">
              <w:rPr>
                <w:color w:val="000000" w:themeColor="text1"/>
                <w:sz w:val="22"/>
                <w:szCs w:val="22"/>
              </w:rPr>
              <w:t>N</w:t>
            </w:r>
          </w:p>
        </w:tc>
        <w:tc>
          <w:tcPr>
            <w:tcW w:w="1207" w:type="dxa"/>
            <w:tcBorders>
              <w:top w:val="single" w:sz="4" w:space="0" w:color="000000" w:themeColor="text1"/>
              <w:left w:val="nil"/>
              <w:bottom w:val="single" w:sz="4" w:space="0" w:color="auto"/>
              <w:right w:val="nil"/>
            </w:tcBorders>
            <w:shd w:val="clear" w:color="000000" w:fill="FFFFFF"/>
            <w:vAlign w:val="center"/>
            <w:hideMark/>
          </w:tcPr>
          <w:p w14:paraId="06249A48" w14:textId="77777777" w:rsidR="00953238" w:rsidRPr="00953238" w:rsidRDefault="00953238">
            <w:pPr>
              <w:jc w:val="center"/>
              <w:rPr>
                <w:color w:val="000000" w:themeColor="text1"/>
                <w:sz w:val="22"/>
                <w:szCs w:val="22"/>
              </w:rPr>
            </w:pPr>
            <w:r w:rsidRPr="00953238">
              <w:rPr>
                <w:color w:val="000000" w:themeColor="text1"/>
                <w:sz w:val="22"/>
                <w:szCs w:val="22"/>
              </w:rPr>
              <w:t>Minimum</w:t>
            </w:r>
          </w:p>
        </w:tc>
        <w:tc>
          <w:tcPr>
            <w:tcW w:w="1133" w:type="dxa"/>
            <w:tcBorders>
              <w:top w:val="single" w:sz="4" w:space="0" w:color="000000" w:themeColor="text1"/>
              <w:left w:val="nil"/>
              <w:bottom w:val="single" w:sz="4" w:space="0" w:color="auto"/>
              <w:right w:val="nil"/>
            </w:tcBorders>
            <w:shd w:val="clear" w:color="000000" w:fill="FFFFFF"/>
            <w:vAlign w:val="center"/>
            <w:hideMark/>
          </w:tcPr>
          <w:p w14:paraId="453F69CA" w14:textId="77777777" w:rsidR="00953238" w:rsidRPr="00953238" w:rsidRDefault="00953238">
            <w:pPr>
              <w:jc w:val="center"/>
              <w:rPr>
                <w:color w:val="000000" w:themeColor="text1"/>
                <w:sz w:val="22"/>
                <w:szCs w:val="22"/>
              </w:rPr>
            </w:pPr>
            <w:r w:rsidRPr="00953238">
              <w:rPr>
                <w:color w:val="000000" w:themeColor="text1"/>
                <w:sz w:val="22"/>
                <w:szCs w:val="22"/>
              </w:rPr>
              <w:t>Maximum</w:t>
            </w:r>
          </w:p>
        </w:tc>
        <w:tc>
          <w:tcPr>
            <w:tcW w:w="1152" w:type="dxa"/>
            <w:tcBorders>
              <w:top w:val="single" w:sz="4" w:space="0" w:color="000000" w:themeColor="text1"/>
              <w:left w:val="nil"/>
              <w:bottom w:val="single" w:sz="4" w:space="0" w:color="auto"/>
              <w:right w:val="nil"/>
            </w:tcBorders>
            <w:shd w:val="clear" w:color="000000" w:fill="FFFFFF"/>
            <w:vAlign w:val="center"/>
            <w:hideMark/>
          </w:tcPr>
          <w:p w14:paraId="2CCA359D" w14:textId="77777777" w:rsidR="00953238" w:rsidRPr="00953238" w:rsidRDefault="00953238" w:rsidP="00953238">
            <w:pPr>
              <w:jc w:val="center"/>
              <w:rPr>
                <w:color w:val="000000" w:themeColor="text1"/>
                <w:sz w:val="22"/>
                <w:szCs w:val="22"/>
              </w:rPr>
            </w:pPr>
            <w:r w:rsidRPr="00953238">
              <w:rPr>
                <w:color w:val="000000" w:themeColor="text1"/>
                <w:sz w:val="22"/>
                <w:szCs w:val="22"/>
              </w:rPr>
              <w:t>Mean</w:t>
            </w:r>
          </w:p>
        </w:tc>
        <w:tc>
          <w:tcPr>
            <w:tcW w:w="993" w:type="dxa"/>
            <w:tcBorders>
              <w:top w:val="single" w:sz="4" w:space="0" w:color="000000" w:themeColor="text1"/>
              <w:left w:val="nil"/>
              <w:bottom w:val="single" w:sz="4" w:space="0" w:color="auto"/>
              <w:right w:val="nil"/>
            </w:tcBorders>
            <w:shd w:val="clear" w:color="000000" w:fill="FFFFFF"/>
            <w:vAlign w:val="center"/>
            <w:hideMark/>
          </w:tcPr>
          <w:p w14:paraId="64778998" w14:textId="77777777" w:rsidR="00953238" w:rsidRPr="00953238" w:rsidRDefault="00953238" w:rsidP="00953238">
            <w:pPr>
              <w:jc w:val="center"/>
              <w:rPr>
                <w:color w:val="000000" w:themeColor="text1"/>
                <w:sz w:val="22"/>
                <w:szCs w:val="22"/>
              </w:rPr>
            </w:pPr>
            <w:r w:rsidRPr="00953238">
              <w:rPr>
                <w:color w:val="000000" w:themeColor="text1"/>
                <w:sz w:val="22"/>
                <w:szCs w:val="22"/>
              </w:rPr>
              <w:t>Median</w:t>
            </w:r>
          </w:p>
        </w:tc>
        <w:tc>
          <w:tcPr>
            <w:tcW w:w="1559" w:type="dxa"/>
            <w:tcBorders>
              <w:top w:val="single" w:sz="4" w:space="0" w:color="000000" w:themeColor="text1"/>
              <w:left w:val="nil"/>
              <w:bottom w:val="single" w:sz="4" w:space="0" w:color="auto"/>
              <w:right w:val="nil"/>
            </w:tcBorders>
            <w:shd w:val="clear" w:color="000000" w:fill="FFFFFF"/>
            <w:vAlign w:val="center"/>
            <w:hideMark/>
          </w:tcPr>
          <w:p w14:paraId="58E689F2" w14:textId="77777777" w:rsidR="00953238" w:rsidRPr="00953238" w:rsidRDefault="00953238">
            <w:pPr>
              <w:jc w:val="center"/>
              <w:rPr>
                <w:color w:val="000000" w:themeColor="text1"/>
                <w:sz w:val="22"/>
                <w:szCs w:val="22"/>
              </w:rPr>
            </w:pPr>
            <w:r w:rsidRPr="00953238">
              <w:rPr>
                <w:color w:val="000000" w:themeColor="text1"/>
                <w:sz w:val="22"/>
                <w:szCs w:val="22"/>
              </w:rPr>
              <w:t>Std. Deviation</w:t>
            </w:r>
          </w:p>
        </w:tc>
      </w:tr>
      <w:tr w:rsidR="00A06764" w14:paraId="36B4684D" w14:textId="77777777" w:rsidTr="00A06764">
        <w:trPr>
          <w:trHeight w:val="20"/>
        </w:trPr>
        <w:tc>
          <w:tcPr>
            <w:tcW w:w="2199" w:type="dxa"/>
            <w:tcBorders>
              <w:top w:val="single" w:sz="4" w:space="0" w:color="FFFFFF" w:themeColor="background1"/>
              <w:left w:val="nil"/>
              <w:bottom w:val="single" w:sz="4" w:space="0" w:color="FFFFFF" w:themeColor="background1"/>
              <w:right w:val="nil"/>
            </w:tcBorders>
            <w:vAlign w:val="center"/>
            <w:hideMark/>
          </w:tcPr>
          <w:p w14:paraId="0204E348" w14:textId="7F6AD35A" w:rsidR="00A06764" w:rsidRPr="00953238" w:rsidRDefault="00A06764" w:rsidP="00F4159D">
            <w:pPr>
              <w:rPr>
                <w:color w:val="000000" w:themeColor="text1"/>
                <w:sz w:val="22"/>
                <w:szCs w:val="22"/>
              </w:rPr>
            </w:pPr>
            <w:r w:rsidRPr="00953238">
              <w:rPr>
                <w:color w:val="000000" w:themeColor="text1"/>
                <w:sz w:val="22"/>
                <w:szCs w:val="22"/>
              </w:rPr>
              <w:t>GAAP_ETR</w:t>
            </w:r>
          </w:p>
        </w:tc>
        <w:tc>
          <w:tcPr>
            <w:tcW w:w="546"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10900305" w14:textId="34ACA508" w:rsidR="00A06764" w:rsidRPr="00953238" w:rsidRDefault="00A06764" w:rsidP="00F4159D">
            <w:pPr>
              <w:jc w:val="center"/>
              <w:rPr>
                <w:color w:val="000000" w:themeColor="text1"/>
                <w:sz w:val="22"/>
                <w:szCs w:val="22"/>
              </w:rPr>
            </w:pPr>
            <w:r w:rsidRPr="00953238">
              <w:rPr>
                <w:color w:val="000000" w:themeColor="text1"/>
                <w:sz w:val="22"/>
                <w:szCs w:val="22"/>
              </w:rPr>
              <w:t>105</w:t>
            </w:r>
          </w:p>
        </w:tc>
        <w:tc>
          <w:tcPr>
            <w:tcW w:w="1207"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7FD0A3B1" w14:textId="6F900F65" w:rsidR="00A06764" w:rsidRPr="00953238" w:rsidRDefault="00A06764" w:rsidP="00953238">
            <w:pPr>
              <w:jc w:val="right"/>
              <w:rPr>
                <w:color w:val="000000" w:themeColor="text1"/>
                <w:sz w:val="22"/>
                <w:szCs w:val="22"/>
              </w:rPr>
            </w:pPr>
            <w:r w:rsidRPr="00953238">
              <w:rPr>
                <w:color w:val="000000" w:themeColor="text1"/>
                <w:sz w:val="22"/>
                <w:szCs w:val="22"/>
              </w:rPr>
              <w:t xml:space="preserve">        -0.27</w:t>
            </w:r>
          </w:p>
        </w:tc>
        <w:tc>
          <w:tcPr>
            <w:tcW w:w="113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0224BC15" w14:textId="43FBB6E0" w:rsidR="00A06764" w:rsidRPr="00953238" w:rsidRDefault="00A06764" w:rsidP="00953238">
            <w:pPr>
              <w:jc w:val="right"/>
              <w:rPr>
                <w:color w:val="000000" w:themeColor="text1"/>
                <w:sz w:val="22"/>
                <w:szCs w:val="22"/>
              </w:rPr>
            </w:pPr>
            <w:r w:rsidRPr="00953238">
              <w:rPr>
                <w:color w:val="000000" w:themeColor="text1"/>
                <w:sz w:val="22"/>
                <w:szCs w:val="22"/>
              </w:rPr>
              <w:t xml:space="preserve">        0.80 </w:t>
            </w:r>
          </w:p>
        </w:tc>
        <w:tc>
          <w:tcPr>
            <w:tcW w:w="1152"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565031FE" w14:textId="5D8F0344" w:rsidR="00A06764" w:rsidRPr="00953238" w:rsidRDefault="00A06764" w:rsidP="00953238">
            <w:pPr>
              <w:jc w:val="right"/>
              <w:rPr>
                <w:color w:val="000000" w:themeColor="text1"/>
                <w:sz w:val="22"/>
                <w:szCs w:val="22"/>
              </w:rPr>
            </w:pPr>
            <w:r w:rsidRPr="00953238">
              <w:rPr>
                <w:color w:val="000000" w:themeColor="text1"/>
                <w:sz w:val="22"/>
                <w:szCs w:val="22"/>
              </w:rPr>
              <w:t>0.25</w:t>
            </w:r>
          </w:p>
        </w:tc>
        <w:tc>
          <w:tcPr>
            <w:tcW w:w="99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5D9AB83D" w14:textId="26377AC3" w:rsidR="00A06764" w:rsidRPr="00953238" w:rsidRDefault="00A06764" w:rsidP="00953238">
            <w:pPr>
              <w:jc w:val="right"/>
              <w:rPr>
                <w:color w:val="000000" w:themeColor="text1"/>
                <w:sz w:val="22"/>
                <w:szCs w:val="22"/>
              </w:rPr>
            </w:pPr>
            <w:r w:rsidRPr="00953238">
              <w:rPr>
                <w:color w:val="000000" w:themeColor="text1"/>
                <w:sz w:val="22"/>
                <w:szCs w:val="22"/>
              </w:rPr>
              <w:t>0.22</w:t>
            </w:r>
          </w:p>
        </w:tc>
        <w:tc>
          <w:tcPr>
            <w:tcW w:w="1559"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139ADA46" w14:textId="34C4D87F" w:rsidR="00A06764" w:rsidRPr="00953238" w:rsidRDefault="00A06764" w:rsidP="00953238">
            <w:pPr>
              <w:jc w:val="right"/>
              <w:rPr>
                <w:color w:val="000000" w:themeColor="text1"/>
                <w:sz w:val="22"/>
                <w:szCs w:val="22"/>
              </w:rPr>
            </w:pPr>
            <w:r w:rsidRPr="00953238">
              <w:rPr>
                <w:color w:val="000000" w:themeColor="text1"/>
                <w:sz w:val="22"/>
                <w:szCs w:val="22"/>
              </w:rPr>
              <w:t xml:space="preserve">               0.14 </w:t>
            </w:r>
          </w:p>
        </w:tc>
      </w:tr>
      <w:tr w:rsidR="00A06764" w14:paraId="5DBC39B8" w14:textId="77777777" w:rsidTr="00A06764">
        <w:trPr>
          <w:trHeight w:val="20"/>
        </w:trPr>
        <w:tc>
          <w:tcPr>
            <w:tcW w:w="2199" w:type="dxa"/>
            <w:tcBorders>
              <w:top w:val="single" w:sz="4" w:space="0" w:color="FFFFFF" w:themeColor="background1"/>
              <w:left w:val="nil"/>
              <w:bottom w:val="single" w:sz="4" w:space="0" w:color="FFFFFF" w:themeColor="background1"/>
              <w:right w:val="nil"/>
            </w:tcBorders>
            <w:vAlign w:val="center"/>
            <w:hideMark/>
          </w:tcPr>
          <w:p w14:paraId="421226A4" w14:textId="1947139C" w:rsidR="00A06764" w:rsidRPr="00953238" w:rsidRDefault="00A06764" w:rsidP="00953238">
            <w:pPr>
              <w:rPr>
                <w:color w:val="000000" w:themeColor="text1"/>
                <w:sz w:val="22"/>
                <w:szCs w:val="22"/>
              </w:rPr>
            </w:pPr>
            <w:r w:rsidRPr="00953238">
              <w:rPr>
                <w:color w:val="000000" w:themeColor="text1"/>
                <w:sz w:val="22"/>
                <w:szCs w:val="22"/>
              </w:rPr>
              <w:t>Current_ETR</w:t>
            </w:r>
          </w:p>
        </w:tc>
        <w:tc>
          <w:tcPr>
            <w:tcW w:w="546"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4D614528" w14:textId="530B9AAE" w:rsidR="00A06764" w:rsidRPr="00953238" w:rsidRDefault="00A06764" w:rsidP="00F4159D">
            <w:pPr>
              <w:jc w:val="center"/>
              <w:rPr>
                <w:color w:val="000000" w:themeColor="text1"/>
                <w:sz w:val="22"/>
                <w:szCs w:val="22"/>
              </w:rPr>
            </w:pPr>
            <w:r w:rsidRPr="00953238">
              <w:rPr>
                <w:color w:val="000000" w:themeColor="text1"/>
                <w:sz w:val="22"/>
                <w:szCs w:val="22"/>
              </w:rPr>
              <w:t>105</w:t>
            </w:r>
          </w:p>
        </w:tc>
        <w:tc>
          <w:tcPr>
            <w:tcW w:w="1207"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27A6F8BB" w14:textId="6B7678A6" w:rsidR="00A06764" w:rsidRPr="00953238" w:rsidRDefault="00A06764" w:rsidP="00953238">
            <w:pPr>
              <w:jc w:val="right"/>
              <w:rPr>
                <w:color w:val="000000" w:themeColor="text1"/>
                <w:sz w:val="22"/>
                <w:szCs w:val="22"/>
              </w:rPr>
            </w:pPr>
            <w:r w:rsidRPr="00953238">
              <w:rPr>
                <w:color w:val="000000" w:themeColor="text1"/>
                <w:sz w:val="22"/>
                <w:szCs w:val="22"/>
              </w:rPr>
              <w:t xml:space="preserve">        0.00 </w:t>
            </w:r>
          </w:p>
        </w:tc>
        <w:tc>
          <w:tcPr>
            <w:tcW w:w="113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4BA0F8AC" w14:textId="7443760B" w:rsidR="00A06764" w:rsidRPr="00953238" w:rsidRDefault="00A06764" w:rsidP="00953238">
            <w:pPr>
              <w:jc w:val="right"/>
              <w:rPr>
                <w:color w:val="000000" w:themeColor="text1"/>
                <w:sz w:val="22"/>
                <w:szCs w:val="22"/>
              </w:rPr>
            </w:pPr>
            <w:r w:rsidRPr="00953238">
              <w:rPr>
                <w:color w:val="000000" w:themeColor="text1"/>
                <w:sz w:val="22"/>
                <w:szCs w:val="22"/>
              </w:rPr>
              <w:t xml:space="preserve">        1.64 </w:t>
            </w:r>
          </w:p>
        </w:tc>
        <w:tc>
          <w:tcPr>
            <w:tcW w:w="1152"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7970B70C" w14:textId="3963356A" w:rsidR="00A06764" w:rsidRPr="00953238" w:rsidRDefault="00A06764" w:rsidP="00953238">
            <w:pPr>
              <w:jc w:val="right"/>
              <w:rPr>
                <w:color w:val="000000" w:themeColor="text1"/>
                <w:sz w:val="22"/>
                <w:szCs w:val="22"/>
              </w:rPr>
            </w:pPr>
            <w:r w:rsidRPr="00953238">
              <w:rPr>
                <w:color w:val="000000" w:themeColor="text1"/>
                <w:sz w:val="22"/>
                <w:szCs w:val="22"/>
              </w:rPr>
              <w:t>0.26</w:t>
            </w:r>
          </w:p>
        </w:tc>
        <w:tc>
          <w:tcPr>
            <w:tcW w:w="99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742B3C05" w14:textId="112D28DC" w:rsidR="00A06764" w:rsidRPr="00953238" w:rsidRDefault="00A06764" w:rsidP="00953238">
            <w:pPr>
              <w:jc w:val="right"/>
              <w:rPr>
                <w:color w:val="000000" w:themeColor="text1"/>
                <w:sz w:val="22"/>
                <w:szCs w:val="22"/>
              </w:rPr>
            </w:pPr>
            <w:r w:rsidRPr="00953238">
              <w:rPr>
                <w:color w:val="000000" w:themeColor="text1"/>
                <w:sz w:val="22"/>
                <w:szCs w:val="22"/>
              </w:rPr>
              <w:t>0.23</w:t>
            </w:r>
          </w:p>
        </w:tc>
        <w:tc>
          <w:tcPr>
            <w:tcW w:w="1559"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39AA84FA" w14:textId="6E56731C" w:rsidR="00A06764" w:rsidRPr="00953238" w:rsidRDefault="00A06764" w:rsidP="00953238">
            <w:pPr>
              <w:jc w:val="right"/>
              <w:rPr>
                <w:color w:val="000000" w:themeColor="text1"/>
                <w:sz w:val="22"/>
                <w:szCs w:val="22"/>
              </w:rPr>
            </w:pPr>
            <w:r w:rsidRPr="00953238">
              <w:rPr>
                <w:color w:val="000000" w:themeColor="text1"/>
                <w:sz w:val="22"/>
                <w:szCs w:val="22"/>
              </w:rPr>
              <w:t xml:space="preserve">               0.18 </w:t>
            </w:r>
          </w:p>
        </w:tc>
      </w:tr>
      <w:tr w:rsidR="00A06764" w14:paraId="2C267C61" w14:textId="77777777" w:rsidTr="00A06764">
        <w:trPr>
          <w:trHeight w:val="20"/>
        </w:trPr>
        <w:tc>
          <w:tcPr>
            <w:tcW w:w="2199" w:type="dxa"/>
            <w:tcBorders>
              <w:top w:val="single" w:sz="4" w:space="0" w:color="FFFFFF" w:themeColor="background1"/>
              <w:left w:val="nil"/>
              <w:bottom w:val="single" w:sz="4" w:space="0" w:color="FFFFFF" w:themeColor="background1"/>
              <w:right w:val="nil"/>
            </w:tcBorders>
            <w:vAlign w:val="center"/>
            <w:hideMark/>
          </w:tcPr>
          <w:p w14:paraId="18FF2BF3" w14:textId="3EB053A8" w:rsidR="00A06764" w:rsidRPr="00953238" w:rsidRDefault="00A06764" w:rsidP="00953238">
            <w:pPr>
              <w:rPr>
                <w:color w:val="000000" w:themeColor="text1"/>
                <w:sz w:val="22"/>
                <w:szCs w:val="22"/>
              </w:rPr>
            </w:pPr>
            <w:r w:rsidRPr="00953238">
              <w:rPr>
                <w:color w:val="000000" w:themeColor="text1"/>
                <w:sz w:val="22"/>
                <w:szCs w:val="22"/>
              </w:rPr>
              <w:t>Spesialisasi</w:t>
            </w:r>
          </w:p>
        </w:tc>
        <w:tc>
          <w:tcPr>
            <w:tcW w:w="546"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1045D688" w14:textId="6D6FCEA4" w:rsidR="00A06764" w:rsidRPr="00953238" w:rsidRDefault="00A06764" w:rsidP="00F4159D">
            <w:pPr>
              <w:jc w:val="center"/>
              <w:rPr>
                <w:color w:val="000000" w:themeColor="text1"/>
                <w:sz w:val="22"/>
                <w:szCs w:val="22"/>
              </w:rPr>
            </w:pPr>
            <w:r w:rsidRPr="00953238">
              <w:rPr>
                <w:color w:val="000000" w:themeColor="text1"/>
                <w:sz w:val="22"/>
                <w:szCs w:val="22"/>
              </w:rPr>
              <w:t>105</w:t>
            </w:r>
          </w:p>
        </w:tc>
        <w:tc>
          <w:tcPr>
            <w:tcW w:w="1207"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6243DD4C" w14:textId="33E6E1D3" w:rsidR="00A06764" w:rsidRPr="00953238" w:rsidRDefault="00A06764" w:rsidP="00953238">
            <w:pPr>
              <w:jc w:val="right"/>
              <w:rPr>
                <w:color w:val="000000" w:themeColor="text1"/>
                <w:sz w:val="22"/>
                <w:szCs w:val="22"/>
              </w:rPr>
            </w:pPr>
            <w:r w:rsidRPr="00953238">
              <w:rPr>
                <w:color w:val="000000" w:themeColor="text1"/>
                <w:sz w:val="22"/>
                <w:szCs w:val="22"/>
              </w:rPr>
              <w:t xml:space="preserve">           0   </w:t>
            </w:r>
          </w:p>
        </w:tc>
        <w:tc>
          <w:tcPr>
            <w:tcW w:w="113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608D87CC" w14:textId="23C09F62" w:rsidR="00A06764" w:rsidRPr="00953238" w:rsidRDefault="00A06764" w:rsidP="00953238">
            <w:pPr>
              <w:jc w:val="right"/>
              <w:rPr>
                <w:color w:val="000000" w:themeColor="text1"/>
                <w:sz w:val="22"/>
                <w:szCs w:val="22"/>
              </w:rPr>
            </w:pPr>
            <w:r w:rsidRPr="00953238">
              <w:rPr>
                <w:color w:val="000000" w:themeColor="text1"/>
                <w:sz w:val="22"/>
                <w:szCs w:val="22"/>
              </w:rPr>
              <w:t xml:space="preserve">        1.00 </w:t>
            </w:r>
          </w:p>
        </w:tc>
        <w:tc>
          <w:tcPr>
            <w:tcW w:w="1152"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309F791F" w14:textId="7114B3BD" w:rsidR="00A06764" w:rsidRPr="00953238" w:rsidRDefault="00A06764" w:rsidP="00953238">
            <w:pPr>
              <w:jc w:val="right"/>
              <w:rPr>
                <w:color w:val="000000" w:themeColor="text1"/>
                <w:sz w:val="22"/>
                <w:szCs w:val="22"/>
              </w:rPr>
            </w:pPr>
            <w:r w:rsidRPr="00953238">
              <w:rPr>
                <w:color w:val="000000" w:themeColor="text1"/>
                <w:sz w:val="22"/>
                <w:szCs w:val="22"/>
              </w:rPr>
              <w:t>0.32</w:t>
            </w:r>
          </w:p>
        </w:tc>
        <w:tc>
          <w:tcPr>
            <w:tcW w:w="99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70F67632" w14:textId="3A653DCA" w:rsidR="00A06764" w:rsidRPr="00953238" w:rsidRDefault="00A06764" w:rsidP="00953238">
            <w:pPr>
              <w:jc w:val="right"/>
              <w:rPr>
                <w:color w:val="000000" w:themeColor="text1"/>
                <w:sz w:val="22"/>
                <w:szCs w:val="22"/>
              </w:rPr>
            </w:pPr>
            <w:r w:rsidRPr="00953238">
              <w:rPr>
                <w:color w:val="000000" w:themeColor="text1"/>
                <w:sz w:val="22"/>
                <w:szCs w:val="22"/>
              </w:rPr>
              <w:t>0</w:t>
            </w:r>
          </w:p>
        </w:tc>
        <w:tc>
          <w:tcPr>
            <w:tcW w:w="1559"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3A21577F" w14:textId="7BC29A29" w:rsidR="00A06764" w:rsidRPr="00953238" w:rsidRDefault="00A06764" w:rsidP="00953238">
            <w:pPr>
              <w:jc w:val="right"/>
              <w:rPr>
                <w:color w:val="000000" w:themeColor="text1"/>
                <w:sz w:val="22"/>
                <w:szCs w:val="22"/>
              </w:rPr>
            </w:pPr>
            <w:r w:rsidRPr="00953238">
              <w:rPr>
                <w:color w:val="000000" w:themeColor="text1"/>
                <w:sz w:val="22"/>
                <w:szCs w:val="22"/>
              </w:rPr>
              <w:t xml:space="preserve">               0.47 </w:t>
            </w:r>
          </w:p>
        </w:tc>
      </w:tr>
      <w:tr w:rsidR="00A06764" w14:paraId="7E41F30C" w14:textId="77777777" w:rsidTr="00A06764">
        <w:trPr>
          <w:trHeight w:val="20"/>
        </w:trPr>
        <w:tc>
          <w:tcPr>
            <w:tcW w:w="2199" w:type="dxa"/>
            <w:tcBorders>
              <w:top w:val="single" w:sz="4" w:space="0" w:color="FFFFFF" w:themeColor="background1"/>
              <w:left w:val="nil"/>
              <w:bottom w:val="single" w:sz="4" w:space="0" w:color="FFFFFF" w:themeColor="background1"/>
              <w:right w:val="nil"/>
            </w:tcBorders>
            <w:vAlign w:val="center"/>
            <w:hideMark/>
          </w:tcPr>
          <w:p w14:paraId="5B7E5587" w14:textId="0322ECBC" w:rsidR="00A06764" w:rsidRPr="00953238" w:rsidRDefault="00A06764" w:rsidP="00953238">
            <w:pPr>
              <w:rPr>
                <w:color w:val="000000" w:themeColor="text1"/>
                <w:sz w:val="22"/>
                <w:szCs w:val="22"/>
              </w:rPr>
            </w:pPr>
            <w:r w:rsidRPr="00953238">
              <w:rPr>
                <w:color w:val="000000" w:themeColor="text1"/>
                <w:sz w:val="22"/>
                <w:szCs w:val="22"/>
              </w:rPr>
              <w:t>Audit_Tenure</w:t>
            </w:r>
          </w:p>
        </w:tc>
        <w:tc>
          <w:tcPr>
            <w:tcW w:w="546"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18A3F00A" w14:textId="5EF83341" w:rsidR="00A06764" w:rsidRPr="00953238" w:rsidRDefault="00A06764" w:rsidP="00F4159D">
            <w:pPr>
              <w:jc w:val="center"/>
              <w:rPr>
                <w:color w:val="000000" w:themeColor="text1"/>
                <w:sz w:val="22"/>
                <w:szCs w:val="22"/>
              </w:rPr>
            </w:pPr>
            <w:r w:rsidRPr="00953238">
              <w:rPr>
                <w:color w:val="000000" w:themeColor="text1"/>
                <w:sz w:val="22"/>
                <w:szCs w:val="22"/>
              </w:rPr>
              <w:t>105</w:t>
            </w:r>
          </w:p>
        </w:tc>
        <w:tc>
          <w:tcPr>
            <w:tcW w:w="1207"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643C7ADC" w14:textId="2B57B661" w:rsidR="00A06764" w:rsidRPr="00953238" w:rsidRDefault="00A06764" w:rsidP="00953238">
            <w:pPr>
              <w:jc w:val="right"/>
              <w:rPr>
                <w:color w:val="000000" w:themeColor="text1"/>
                <w:sz w:val="22"/>
                <w:szCs w:val="22"/>
              </w:rPr>
            </w:pPr>
            <w:r w:rsidRPr="00953238">
              <w:rPr>
                <w:color w:val="000000" w:themeColor="text1"/>
                <w:sz w:val="22"/>
                <w:szCs w:val="22"/>
              </w:rPr>
              <w:t xml:space="preserve">        1.00 </w:t>
            </w:r>
          </w:p>
        </w:tc>
        <w:tc>
          <w:tcPr>
            <w:tcW w:w="113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7F4231D8" w14:textId="15614B6D" w:rsidR="00A06764" w:rsidRPr="00953238" w:rsidRDefault="00A06764" w:rsidP="00953238">
            <w:pPr>
              <w:jc w:val="right"/>
              <w:rPr>
                <w:color w:val="000000" w:themeColor="text1"/>
                <w:sz w:val="22"/>
                <w:szCs w:val="22"/>
              </w:rPr>
            </w:pPr>
            <w:r w:rsidRPr="00953238">
              <w:rPr>
                <w:color w:val="000000" w:themeColor="text1"/>
                <w:sz w:val="22"/>
                <w:szCs w:val="22"/>
              </w:rPr>
              <w:t xml:space="preserve">        7.00 </w:t>
            </w:r>
          </w:p>
        </w:tc>
        <w:tc>
          <w:tcPr>
            <w:tcW w:w="1152"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297F2933" w14:textId="5977F2C2" w:rsidR="00A06764" w:rsidRPr="00953238" w:rsidRDefault="00A06764" w:rsidP="00953238">
            <w:pPr>
              <w:jc w:val="right"/>
              <w:rPr>
                <w:color w:val="000000" w:themeColor="text1"/>
                <w:sz w:val="22"/>
                <w:szCs w:val="22"/>
              </w:rPr>
            </w:pPr>
            <w:r w:rsidRPr="00953238">
              <w:rPr>
                <w:color w:val="000000" w:themeColor="text1"/>
                <w:sz w:val="22"/>
                <w:szCs w:val="22"/>
              </w:rPr>
              <w:t>2.01</w:t>
            </w:r>
          </w:p>
        </w:tc>
        <w:tc>
          <w:tcPr>
            <w:tcW w:w="99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0E5C5B94" w14:textId="106E8DDB" w:rsidR="00A06764" w:rsidRPr="00953238" w:rsidRDefault="00A06764" w:rsidP="00953238">
            <w:pPr>
              <w:jc w:val="right"/>
              <w:rPr>
                <w:color w:val="000000" w:themeColor="text1"/>
                <w:sz w:val="22"/>
                <w:szCs w:val="22"/>
              </w:rPr>
            </w:pPr>
            <w:r w:rsidRPr="00953238">
              <w:rPr>
                <w:color w:val="000000" w:themeColor="text1"/>
                <w:sz w:val="22"/>
                <w:szCs w:val="22"/>
              </w:rPr>
              <w:t>2.00</w:t>
            </w:r>
          </w:p>
        </w:tc>
        <w:tc>
          <w:tcPr>
            <w:tcW w:w="1559"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0831EC46" w14:textId="7485ED93" w:rsidR="00A06764" w:rsidRPr="00953238" w:rsidRDefault="00A06764" w:rsidP="00953238">
            <w:pPr>
              <w:jc w:val="right"/>
              <w:rPr>
                <w:color w:val="000000" w:themeColor="text1"/>
                <w:sz w:val="22"/>
                <w:szCs w:val="22"/>
              </w:rPr>
            </w:pPr>
            <w:r w:rsidRPr="00953238">
              <w:rPr>
                <w:color w:val="000000" w:themeColor="text1"/>
                <w:sz w:val="22"/>
                <w:szCs w:val="22"/>
              </w:rPr>
              <w:t xml:space="preserve">               1.13 </w:t>
            </w:r>
          </w:p>
        </w:tc>
      </w:tr>
      <w:tr w:rsidR="00A06764" w14:paraId="6C9D88E8" w14:textId="77777777" w:rsidTr="00A06764">
        <w:trPr>
          <w:trHeight w:val="20"/>
        </w:trPr>
        <w:tc>
          <w:tcPr>
            <w:tcW w:w="2199" w:type="dxa"/>
            <w:tcBorders>
              <w:top w:val="single" w:sz="4" w:space="0" w:color="FFFFFF" w:themeColor="background1"/>
              <w:left w:val="nil"/>
              <w:bottom w:val="single" w:sz="4" w:space="0" w:color="FFFFFF" w:themeColor="background1"/>
              <w:right w:val="nil"/>
            </w:tcBorders>
            <w:vAlign w:val="center"/>
            <w:hideMark/>
          </w:tcPr>
          <w:p w14:paraId="43160759" w14:textId="5B271F1F" w:rsidR="00A06764" w:rsidRPr="00953238" w:rsidRDefault="00A06764" w:rsidP="00953238">
            <w:pPr>
              <w:rPr>
                <w:color w:val="000000" w:themeColor="text1"/>
                <w:sz w:val="22"/>
                <w:szCs w:val="22"/>
              </w:rPr>
            </w:pPr>
            <w:r w:rsidRPr="00953238">
              <w:rPr>
                <w:color w:val="000000" w:themeColor="text1"/>
                <w:sz w:val="22"/>
                <w:szCs w:val="22"/>
              </w:rPr>
              <w:t>Leverage</w:t>
            </w:r>
          </w:p>
        </w:tc>
        <w:tc>
          <w:tcPr>
            <w:tcW w:w="546"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3F24C211" w14:textId="2055B4CC" w:rsidR="00A06764" w:rsidRPr="00953238" w:rsidRDefault="00A06764" w:rsidP="00F4159D">
            <w:pPr>
              <w:jc w:val="center"/>
              <w:rPr>
                <w:color w:val="000000" w:themeColor="text1"/>
                <w:sz w:val="22"/>
                <w:szCs w:val="22"/>
              </w:rPr>
            </w:pPr>
            <w:r w:rsidRPr="00953238">
              <w:rPr>
                <w:color w:val="000000" w:themeColor="text1"/>
                <w:sz w:val="22"/>
                <w:szCs w:val="22"/>
              </w:rPr>
              <w:t>105</w:t>
            </w:r>
          </w:p>
        </w:tc>
        <w:tc>
          <w:tcPr>
            <w:tcW w:w="1207"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0035CCC3" w14:textId="5DF0F283" w:rsidR="00A06764" w:rsidRPr="00953238" w:rsidRDefault="00A06764" w:rsidP="00953238">
            <w:pPr>
              <w:jc w:val="right"/>
              <w:rPr>
                <w:color w:val="000000" w:themeColor="text1"/>
                <w:sz w:val="22"/>
                <w:szCs w:val="22"/>
              </w:rPr>
            </w:pPr>
            <w:r w:rsidRPr="00953238">
              <w:rPr>
                <w:color w:val="000000" w:themeColor="text1"/>
                <w:sz w:val="22"/>
                <w:szCs w:val="22"/>
              </w:rPr>
              <w:t xml:space="preserve">        0.06 </w:t>
            </w:r>
          </w:p>
        </w:tc>
        <w:tc>
          <w:tcPr>
            <w:tcW w:w="113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2AFD0C5D" w14:textId="7E0EFB95" w:rsidR="00A06764" w:rsidRPr="00953238" w:rsidRDefault="00A06764" w:rsidP="00953238">
            <w:pPr>
              <w:jc w:val="right"/>
              <w:rPr>
                <w:color w:val="000000" w:themeColor="text1"/>
                <w:sz w:val="22"/>
                <w:szCs w:val="22"/>
              </w:rPr>
            </w:pPr>
            <w:r w:rsidRPr="00953238">
              <w:rPr>
                <w:color w:val="000000" w:themeColor="text1"/>
                <w:sz w:val="22"/>
                <w:szCs w:val="22"/>
              </w:rPr>
              <w:t xml:space="preserve">        0.92 </w:t>
            </w:r>
          </w:p>
        </w:tc>
        <w:tc>
          <w:tcPr>
            <w:tcW w:w="1152"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48D0161E" w14:textId="02C6EDA6" w:rsidR="00A06764" w:rsidRPr="00953238" w:rsidRDefault="00A06764" w:rsidP="00953238">
            <w:pPr>
              <w:jc w:val="right"/>
              <w:rPr>
                <w:color w:val="000000" w:themeColor="text1"/>
                <w:sz w:val="22"/>
                <w:szCs w:val="22"/>
              </w:rPr>
            </w:pPr>
            <w:r w:rsidRPr="00953238">
              <w:rPr>
                <w:color w:val="000000" w:themeColor="text1"/>
                <w:sz w:val="22"/>
                <w:szCs w:val="22"/>
              </w:rPr>
              <w:t>0.44</w:t>
            </w:r>
          </w:p>
        </w:tc>
        <w:tc>
          <w:tcPr>
            <w:tcW w:w="99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71ED45F3" w14:textId="68D23194" w:rsidR="00A06764" w:rsidRPr="00953238" w:rsidRDefault="00A06764" w:rsidP="00953238">
            <w:pPr>
              <w:jc w:val="right"/>
              <w:rPr>
                <w:color w:val="000000" w:themeColor="text1"/>
                <w:sz w:val="22"/>
                <w:szCs w:val="22"/>
              </w:rPr>
            </w:pPr>
            <w:r w:rsidRPr="00953238">
              <w:rPr>
                <w:color w:val="000000" w:themeColor="text1"/>
                <w:sz w:val="22"/>
                <w:szCs w:val="22"/>
              </w:rPr>
              <w:t>0.46</w:t>
            </w:r>
          </w:p>
        </w:tc>
        <w:tc>
          <w:tcPr>
            <w:tcW w:w="1559"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36A17F4D" w14:textId="397B122A" w:rsidR="00A06764" w:rsidRPr="00953238" w:rsidRDefault="00A06764" w:rsidP="00953238">
            <w:pPr>
              <w:jc w:val="right"/>
              <w:rPr>
                <w:color w:val="000000" w:themeColor="text1"/>
                <w:sz w:val="22"/>
                <w:szCs w:val="22"/>
              </w:rPr>
            </w:pPr>
            <w:r w:rsidRPr="00953238">
              <w:rPr>
                <w:color w:val="000000" w:themeColor="text1"/>
                <w:sz w:val="22"/>
                <w:szCs w:val="22"/>
              </w:rPr>
              <w:t xml:space="preserve">               0.17 </w:t>
            </w:r>
          </w:p>
        </w:tc>
      </w:tr>
      <w:tr w:rsidR="00A06764" w14:paraId="1DE4F2CB" w14:textId="77777777" w:rsidTr="00A06764">
        <w:trPr>
          <w:trHeight w:val="20"/>
        </w:trPr>
        <w:tc>
          <w:tcPr>
            <w:tcW w:w="2199" w:type="dxa"/>
            <w:tcBorders>
              <w:top w:val="single" w:sz="4" w:space="0" w:color="FFFFFF" w:themeColor="background1"/>
              <w:left w:val="nil"/>
              <w:bottom w:val="single" w:sz="4" w:space="0" w:color="FFFFFF" w:themeColor="background1"/>
              <w:right w:val="nil"/>
            </w:tcBorders>
            <w:vAlign w:val="center"/>
            <w:hideMark/>
          </w:tcPr>
          <w:p w14:paraId="729A279C" w14:textId="325D3B8D" w:rsidR="00A06764" w:rsidRPr="00953238" w:rsidRDefault="00A06764" w:rsidP="00953238">
            <w:pPr>
              <w:rPr>
                <w:color w:val="000000" w:themeColor="text1"/>
                <w:sz w:val="22"/>
                <w:szCs w:val="22"/>
              </w:rPr>
            </w:pPr>
            <w:r w:rsidRPr="00953238">
              <w:rPr>
                <w:color w:val="000000" w:themeColor="text1"/>
                <w:sz w:val="22"/>
                <w:szCs w:val="22"/>
              </w:rPr>
              <w:t>Ukuran_Perusahaan</w:t>
            </w:r>
          </w:p>
        </w:tc>
        <w:tc>
          <w:tcPr>
            <w:tcW w:w="546"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1EEE8B47" w14:textId="650189C7" w:rsidR="00A06764" w:rsidRPr="00953238" w:rsidRDefault="00A06764" w:rsidP="00F4159D">
            <w:pPr>
              <w:jc w:val="center"/>
              <w:rPr>
                <w:color w:val="000000" w:themeColor="text1"/>
                <w:sz w:val="22"/>
                <w:szCs w:val="22"/>
              </w:rPr>
            </w:pPr>
            <w:r w:rsidRPr="00953238">
              <w:rPr>
                <w:color w:val="000000" w:themeColor="text1"/>
                <w:sz w:val="22"/>
                <w:szCs w:val="22"/>
              </w:rPr>
              <w:t>105</w:t>
            </w:r>
          </w:p>
        </w:tc>
        <w:tc>
          <w:tcPr>
            <w:tcW w:w="1207"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4061E328" w14:textId="7976545C" w:rsidR="00A06764" w:rsidRPr="00953238" w:rsidRDefault="00A06764" w:rsidP="00953238">
            <w:pPr>
              <w:jc w:val="right"/>
              <w:rPr>
                <w:color w:val="000000" w:themeColor="text1"/>
                <w:sz w:val="22"/>
                <w:szCs w:val="22"/>
              </w:rPr>
            </w:pPr>
            <w:r w:rsidRPr="00953238">
              <w:rPr>
                <w:color w:val="000000" w:themeColor="text1"/>
                <w:sz w:val="22"/>
                <w:szCs w:val="22"/>
              </w:rPr>
              <w:t xml:space="preserve">      25.64 </w:t>
            </w:r>
          </w:p>
        </w:tc>
        <w:tc>
          <w:tcPr>
            <w:tcW w:w="113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0654507F" w14:textId="54C6F7AE" w:rsidR="00A06764" w:rsidRPr="00953238" w:rsidRDefault="00A06764" w:rsidP="00953238">
            <w:pPr>
              <w:jc w:val="right"/>
              <w:rPr>
                <w:color w:val="000000" w:themeColor="text1"/>
                <w:sz w:val="22"/>
                <w:szCs w:val="22"/>
              </w:rPr>
            </w:pPr>
            <w:r w:rsidRPr="00953238">
              <w:rPr>
                <w:color w:val="000000" w:themeColor="text1"/>
                <w:sz w:val="22"/>
                <w:szCs w:val="22"/>
              </w:rPr>
              <w:t xml:space="preserve">      32.75 </w:t>
            </w:r>
          </w:p>
        </w:tc>
        <w:tc>
          <w:tcPr>
            <w:tcW w:w="1152"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6BA0DF3E" w14:textId="7E2D1E4B" w:rsidR="00A06764" w:rsidRPr="00953238" w:rsidRDefault="00A06764" w:rsidP="00953238">
            <w:pPr>
              <w:jc w:val="right"/>
              <w:rPr>
                <w:color w:val="000000" w:themeColor="text1"/>
                <w:sz w:val="22"/>
                <w:szCs w:val="22"/>
              </w:rPr>
            </w:pPr>
            <w:r w:rsidRPr="00953238">
              <w:rPr>
                <w:color w:val="000000" w:themeColor="text1"/>
                <w:sz w:val="22"/>
                <w:szCs w:val="22"/>
              </w:rPr>
              <w:t>29.87</w:t>
            </w:r>
          </w:p>
        </w:tc>
        <w:tc>
          <w:tcPr>
            <w:tcW w:w="99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15A135D4" w14:textId="502AB1E7" w:rsidR="00A06764" w:rsidRPr="00953238" w:rsidRDefault="00A06764" w:rsidP="00953238">
            <w:pPr>
              <w:jc w:val="right"/>
              <w:rPr>
                <w:color w:val="000000" w:themeColor="text1"/>
                <w:sz w:val="22"/>
                <w:szCs w:val="22"/>
              </w:rPr>
            </w:pPr>
            <w:r w:rsidRPr="00953238">
              <w:rPr>
                <w:color w:val="000000" w:themeColor="text1"/>
                <w:sz w:val="22"/>
                <w:szCs w:val="22"/>
              </w:rPr>
              <w:t>30.05</w:t>
            </w:r>
          </w:p>
        </w:tc>
        <w:tc>
          <w:tcPr>
            <w:tcW w:w="1559"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649AB37F" w14:textId="0A8C4BF0" w:rsidR="00A06764" w:rsidRPr="00953238" w:rsidRDefault="00A06764" w:rsidP="00953238">
            <w:pPr>
              <w:jc w:val="right"/>
              <w:rPr>
                <w:color w:val="000000" w:themeColor="text1"/>
                <w:sz w:val="22"/>
                <w:szCs w:val="22"/>
              </w:rPr>
            </w:pPr>
            <w:r w:rsidRPr="00953238">
              <w:rPr>
                <w:color w:val="000000" w:themeColor="text1"/>
                <w:sz w:val="22"/>
                <w:szCs w:val="22"/>
              </w:rPr>
              <w:t xml:space="preserve">               1.72 </w:t>
            </w:r>
          </w:p>
        </w:tc>
      </w:tr>
      <w:tr w:rsidR="00A06764" w14:paraId="22A8A88A" w14:textId="77777777" w:rsidTr="00A06764">
        <w:trPr>
          <w:trHeight w:val="20"/>
        </w:trPr>
        <w:tc>
          <w:tcPr>
            <w:tcW w:w="2199" w:type="dxa"/>
            <w:tcBorders>
              <w:top w:val="single" w:sz="4" w:space="0" w:color="FFFFFF" w:themeColor="background1"/>
              <w:left w:val="nil"/>
              <w:bottom w:val="single" w:sz="4" w:space="0" w:color="FFFFFF" w:themeColor="background1"/>
              <w:right w:val="nil"/>
            </w:tcBorders>
            <w:vAlign w:val="center"/>
            <w:hideMark/>
          </w:tcPr>
          <w:p w14:paraId="73431F8C" w14:textId="0805B45F" w:rsidR="00A06764" w:rsidRPr="00953238" w:rsidRDefault="00A06764" w:rsidP="00953238">
            <w:pPr>
              <w:rPr>
                <w:color w:val="000000" w:themeColor="text1"/>
                <w:sz w:val="22"/>
                <w:szCs w:val="22"/>
              </w:rPr>
            </w:pPr>
            <w:r w:rsidRPr="00953238">
              <w:rPr>
                <w:color w:val="000000" w:themeColor="text1"/>
                <w:sz w:val="22"/>
                <w:szCs w:val="22"/>
              </w:rPr>
              <w:t>ROA</w:t>
            </w:r>
          </w:p>
        </w:tc>
        <w:tc>
          <w:tcPr>
            <w:tcW w:w="546"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711E3AD6" w14:textId="3FF997EC" w:rsidR="00A06764" w:rsidRPr="00953238" w:rsidRDefault="00A06764" w:rsidP="00F4159D">
            <w:pPr>
              <w:jc w:val="center"/>
              <w:rPr>
                <w:color w:val="000000" w:themeColor="text1"/>
                <w:sz w:val="22"/>
                <w:szCs w:val="22"/>
              </w:rPr>
            </w:pPr>
            <w:r w:rsidRPr="00953238">
              <w:rPr>
                <w:color w:val="000000" w:themeColor="text1"/>
                <w:sz w:val="22"/>
                <w:szCs w:val="22"/>
              </w:rPr>
              <w:t>105</w:t>
            </w:r>
          </w:p>
        </w:tc>
        <w:tc>
          <w:tcPr>
            <w:tcW w:w="1207"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2FC4230C" w14:textId="4A9CD616" w:rsidR="00A06764" w:rsidRPr="00953238" w:rsidRDefault="00A06764" w:rsidP="00953238">
            <w:pPr>
              <w:jc w:val="right"/>
              <w:rPr>
                <w:color w:val="000000" w:themeColor="text1"/>
                <w:sz w:val="22"/>
                <w:szCs w:val="22"/>
              </w:rPr>
            </w:pPr>
            <w:r w:rsidRPr="00953238">
              <w:rPr>
                <w:color w:val="000000" w:themeColor="text1"/>
                <w:sz w:val="22"/>
                <w:szCs w:val="22"/>
              </w:rPr>
              <w:t xml:space="preserve">        0.25 </w:t>
            </w:r>
          </w:p>
        </w:tc>
        <w:tc>
          <w:tcPr>
            <w:tcW w:w="113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12814E37" w14:textId="5D6562AA" w:rsidR="00A06764" w:rsidRPr="00953238" w:rsidRDefault="00A06764" w:rsidP="00953238">
            <w:pPr>
              <w:jc w:val="right"/>
              <w:rPr>
                <w:color w:val="000000" w:themeColor="text1"/>
                <w:sz w:val="22"/>
                <w:szCs w:val="22"/>
              </w:rPr>
            </w:pPr>
            <w:r w:rsidRPr="00953238">
              <w:rPr>
                <w:color w:val="000000" w:themeColor="text1"/>
                <w:sz w:val="22"/>
                <w:szCs w:val="22"/>
              </w:rPr>
              <w:t xml:space="preserve">      69.49 </w:t>
            </w:r>
          </w:p>
        </w:tc>
        <w:tc>
          <w:tcPr>
            <w:tcW w:w="1152"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05A25911" w14:textId="75138FB7" w:rsidR="00A06764" w:rsidRPr="00953238" w:rsidRDefault="00A06764" w:rsidP="00953238">
            <w:pPr>
              <w:jc w:val="right"/>
              <w:rPr>
                <w:color w:val="000000" w:themeColor="text1"/>
                <w:sz w:val="22"/>
                <w:szCs w:val="22"/>
              </w:rPr>
            </w:pPr>
            <w:r w:rsidRPr="00953238">
              <w:rPr>
                <w:color w:val="000000" w:themeColor="text1"/>
                <w:sz w:val="22"/>
                <w:szCs w:val="22"/>
              </w:rPr>
              <w:t>14.29</w:t>
            </w:r>
          </w:p>
        </w:tc>
        <w:tc>
          <w:tcPr>
            <w:tcW w:w="993"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403FA6C9" w14:textId="0637150D" w:rsidR="00A06764" w:rsidRPr="00953238" w:rsidRDefault="00A06764" w:rsidP="00953238">
            <w:pPr>
              <w:jc w:val="right"/>
              <w:rPr>
                <w:color w:val="000000" w:themeColor="text1"/>
                <w:sz w:val="22"/>
                <w:szCs w:val="22"/>
              </w:rPr>
            </w:pPr>
            <w:r w:rsidRPr="00953238">
              <w:rPr>
                <w:color w:val="000000" w:themeColor="text1"/>
                <w:sz w:val="22"/>
                <w:szCs w:val="22"/>
              </w:rPr>
              <w:t>8.42</w:t>
            </w:r>
          </w:p>
        </w:tc>
        <w:tc>
          <w:tcPr>
            <w:tcW w:w="1559" w:type="dxa"/>
            <w:tcBorders>
              <w:top w:val="single" w:sz="4" w:space="0" w:color="FFFFFF" w:themeColor="background1"/>
              <w:left w:val="nil"/>
              <w:bottom w:val="single" w:sz="4" w:space="0" w:color="FFFFFF" w:themeColor="background1"/>
              <w:right w:val="nil"/>
            </w:tcBorders>
            <w:shd w:val="clear" w:color="000000" w:fill="FFFFFF"/>
            <w:vAlign w:val="center"/>
            <w:hideMark/>
          </w:tcPr>
          <w:p w14:paraId="64EE3D0B" w14:textId="5163F15D" w:rsidR="00A06764" w:rsidRPr="00953238" w:rsidRDefault="00A06764" w:rsidP="00953238">
            <w:pPr>
              <w:jc w:val="right"/>
              <w:rPr>
                <w:color w:val="000000" w:themeColor="text1"/>
                <w:sz w:val="22"/>
                <w:szCs w:val="22"/>
              </w:rPr>
            </w:pPr>
            <w:r w:rsidRPr="00953238">
              <w:rPr>
                <w:color w:val="000000" w:themeColor="text1"/>
                <w:sz w:val="22"/>
                <w:szCs w:val="22"/>
              </w:rPr>
              <w:t xml:space="preserve">              15.24 </w:t>
            </w:r>
          </w:p>
        </w:tc>
      </w:tr>
      <w:tr w:rsidR="00A06764" w14:paraId="4383EBD2" w14:textId="77777777" w:rsidTr="00A06764">
        <w:trPr>
          <w:trHeight w:val="20"/>
        </w:trPr>
        <w:tc>
          <w:tcPr>
            <w:tcW w:w="2199" w:type="dxa"/>
            <w:tcBorders>
              <w:top w:val="single" w:sz="4" w:space="0" w:color="FFFFFF" w:themeColor="background1"/>
              <w:left w:val="nil"/>
              <w:bottom w:val="single" w:sz="4" w:space="0" w:color="000000" w:themeColor="text1"/>
              <w:right w:val="nil"/>
            </w:tcBorders>
            <w:vAlign w:val="bottom"/>
            <w:hideMark/>
          </w:tcPr>
          <w:p w14:paraId="3B566BEF" w14:textId="6F7F4E3F" w:rsidR="00A06764" w:rsidRPr="00953238" w:rsidRDefault="00A06764" w:rsidP="00953238">
            <w:pPr>
              <w:rPr>
                <w:color w:val="000000" w:themeColor="text1"/>
                <w:sz w:val="22"/>
                <w:szCs w:val="22"/>
              </w:rPr>
            </w:pPr>
            <w:r w:rsidRPr="00953238">
              <w:rPr>
                <w:color w:val="000000" w:themeColor="text1"/>
                <w:sz w:val="22"/>
                <w:szCs w:val="22"/>
              </w:rPr>
              <w:t>Valid N (listwise)</w:t>
            </w:r>
          </w:p>
        </w:tc>
        <w:tc>
          <w:tcPr>
            <w:tcW w:w="546" w:type="dxa"/>
            <w:tcBorders>
              <w:top w:val="single" w:sz="4" w:space="0" w:color="FFFFFF" w:themeColor="background1"/>
              <w:left w:val="nil"/>
              <w:bottom w:val="single" w:sz="4" w:space="0" w:color="000000" w:themeColor="text1"/>
              <w:right w:val="nil"/>
            </w:tcBorders>
            <w:shd w:val="clear" w:color="000000" w:fill="FFFFFF"/>
            <w:vAlign w:val="center"/>
            <w:hideMark/>
          </w:tcPr>
          <w:p w14:paraId="7D777355" w14:textId="0125BEFF" w:rsidR="00A06764" w:rsidRPr="00953238" w:rsidRDefault="00A06764" w:rsidP="00F4159D">
            <w:pPr>
              <w:jc w:val="center"/>
              <w:rPr>
                <w:color w:val="000000" w:themeColor="text1"/>
                <w:sz w:val="22"/>
                <w:szCs w:val="22"/>
              </w:rPr>
            </w:pPr>
            <w:r w:rsidRPr="00953238">
              <w:rPr>
                <w:color w:val="000000" w:themeColor="text1"/>
                <w:sz w:val="22"/>
                <w:szCs w:val="22"/>
              </w:rPr>
              <w:t>105</w:t>
            </w:r>
          </w:p>
        </w:tc>
        <w:tc>
          <w:tcPr>
            <w:tcW w:w="1207" w:type="dxa"/>
            <w:tcBorders>
              <w:top w:val="single" w:sz="4" w:space="0" w:color="FFFFFF" w:themeColor="background1"/>
              <w:left w:val="nil"/>
              <w:bottom w:val="single" w:sz="4" w:space="0" w:color="000000" w:themeColor="text1"/>
              <w:right w:val="nil"/>
            </w:tcBorders>
            <w:shd w:val="clear" w:color="000000" w:fill="FFFFFF"/>
            <w:vAlign w:val="bottom"/>
            <w:hideMark/>
          </w:tcPr>
          <w:p w14:paraId="6A9076F7" w14:textId="1159CF87" w:rsidR="00A06764" w:rsidRPr="00953238" w:rsidRDefault="00A06764" w:rsidP="00953238">
            <w:pPr>
              <w:jc w:val="right"/>
              <w:rPr>
                <w:color w:val="000000" w:themeColor="text1"/>
                <w:sz w:val="22"/>
                <w:szCs w:val="22"/>
              </w:rPr>
            </w:pPr>
            <w:r w:rsidRPr="00953238">
              <w:rPr>
                <w:color w:val="000000" w:themeColor="text1"/>
                <w:sz w:val="22"/>
                <w:szCs w:val="22"/>
              </w:rPr>
              <w:t> </w:t>
            </w:r>
          </w:p>
        </w:tc>
        <w:tc>
          <w:tcPr>
            <w:tcW w:w="1133" w:type="dxa"/>
            <w:tcBorders>
              <w:top w:val="single" w:sz="4" w:space="0" w:color="FFFFFF" w:themeColor="background1"/>
              <w:left w:val="nil"/>
              <w:bottom w:val="single" w:sz="4" w:space="0" w:color="000000" w:themeColor="text1"/>
              <w:right w:val="nil"/>
            </w:tcBorders>
            <w:shd w:val="clear" w:color="000000" w:fill="FFFFFF"/>
            <w:vAlign w:val="bottom"/>
            <w:hideMark/>
          </w:tcPr>
          <w:p w14:paraId="4330E1EF" w14:textId="36EE767F" w:rsidR="00A06764" w:rsidRPr="00953238" w:rsidRDefault="00A06764" w:rsidP="00953238">
            <w:pPr>
              <w:jc w:val="right"/>
              <w:rPr>
                <w:color w:val="000000" w:themeColor="text1"/>
                <w:sz w:val="22"/>
                <w:szCs w:val="22"/>
              </w:rPr>
            </w:pPr>
            <w:r w:rsidRPr="00953238">
              <w:rPr>
                <w:color w:val="000000" w:themeColor="text1"/>
                <w:sz w:val="22"/>
                <w:szCs w:val="22"/>
              </w:rPr>
              <w:t> </w:t>
            </w:r>
          </w:p>
        </w:tc>
        <w:tc>
          <w:tcPr>
            <w:tcW w:w="1152" w:type="dxa"/>
            <w:tcBorders>
              <w:top w:val="single" w:sz="4" w:space="0" w:color="FFFFFF" w:themeColor="background1"/>
              <w:left w:val="nil"/>
              <w:bottom w:val="single" w:sz="4" w:space="0" w:color="000000" w:themeColor="text1"/>
              <w:right w:val="nil"/>
            </w:tcBorders>
            <w:shd w:val="clear" w:color="000000" w:fill="FFFFFF"/>
            <w:vAlign w:val="bottom"/>
            <w:hideMark/>
          </w:tcPr>
          <w:p w14:paraId="45585F7F" w14:textId="65FC343A" w:rsidR="00A06764" w:rsidRPr="00953238" w:rsidRDefault="00A06764" w:rsidP="00953238">
            <w:pPr>
              <w:jc w:val="right"/>
              <w:rPr>
                <w:color w:val="000000" w:themeColor="text1"/>
                <w:sz w:val="22"/>
                <w:szCs w:val="22"/>
              </w:rPr>
            </w:pPr>
            <w:r w:rsidRPr="00953238">
              <w:rPr>
                <w:color w:val="000000" w:themeColor="text1"/>
                <w:sz w:val="22"/>
                <w:szCs w:val="22"/>
              </w:rPr>
              <w:t> </w:t>
            </w:r>
          </w:p>
        </w:tc>
        <w:tc>
          <w:tcPr>
            <w:tcW w:w="993" w:type="dxa"/>
            <w:tcBorders>
              <w:top w:val="single" w:sz="4" w:space="0" w:color="FFFFFF" w:themeColor="background1"/>
              <w:left w:val="nil"/>
              <w:bottom w:val="single" w:sz="4" w:space="0" w:color="000000" w:themeColor="text1"/>
              <w:right w:val="nil"/>
            </w:tcBorders>
            <w:shd w:val="clear" w:color="000000" w:fill="FFFFFF"/>
            <w:vAlign w:val="bottom"/>
            <w:hideMark/>
          </w:tcPr>
          <w:p w14:paraId="6A546486" w14:textId="3AAA7B7C" w:rsidR="00A06764" w:rsidRPr="00953238" w:rsidRDefault="00A06764" w:rsidP="00953238">
            <w:pPr>
              <w:jc w:val="right"/>
              <w:rPr>
                <w:color w:val="000000" w:themeColor="text1"/>
                <w:sz w:val="22"/>
                <w:szCs w:val="22"/>
              </w:rPr>
            </w:pPr>
            <w:r w:rsidRPr="00953238">
              <w:rPr>
                <w:color w:val="000000" w:themeColor="text1"/>
                <w:sz w:val="22"/>
                <w:szCs w:val="22"/>
              </w:rPr>
              <w:t> </w:t>
            </w:r>
          </w:p>
        </w:tc>
        <w:tc>
          <w:tcPr>
            <w:tcW w:w="1559" w:type="dxa"/>
            <w:tcBorders>
              <w:top w:val="single" w:sz="4" w:space="0" w:color="FFFFFF" w:themeColor="background1"/>
              <w:left w:val="nil"/>
              <w:bottom w:val="single" w:sz="4" w:space="0" w:color="000000" w:themeColor="text1"/>
              <w:right w:val="nil"/>
            </w:tcBorders>
            <w:shd w:val="clear" w:color="000000" w:fill="FFFFFF"/>
            <w:vAlign w:val="bottom"/>
            <w:hideMark/>
          </w:tcPr>
          <w:p w14:paraId="42A15D45" w14:textId="4E614420" w:rsidR="00A06764" w:rsidRPr="00953238" w:rsidRDefault="00A06764" w:rsidP="00953238">
            <w:pPr>
              <w:jc w:val="right"/>
              <w:rPr>
                <w:color w:val="000000" w:themeColor="text1"/>
                <w:sz w:val="22"/>
                <w:szCs w:val="22"/>
              </w:rPr>
            </w:pPr>
            <w:r w:rsidRPr="00953238">
              <w:rPr>
                <w:color w:val="000000" w:themeColor="text1"/>
                <w:sz w:val="22"/>
                <w:szCs w:val="22"/>
              </w:rPr>
              <w:t> </w:t>
            </w:r>
          </w:p>
        </w:tc>
      </w:tr>
    </w:tbl>
    <w:p w14:paraId="47A23C16" w14:textId="7978A887" w:rsidR="0076299B" w:rsidRDefault="00F4159D" w:rsidP="00C748ED">
      <w:pPr>
        <w:jc w:val="both"/>
      </w:pPr>
      <w:r>
        <w:t xml:space="preserve">Sumber: </w:t>
      </w:r>
      <w:r w:rsidRPr="009E52C2">
        <w:rPr>
          <w:noProof/>
        </w:rPr>
        <w:t>Hasil Olah Data Penelitian (202</w:t>
      </w:r>
      <w:r>
        <w:rPr>
          <w:noProof/>
        </w:rPr>
        <w:t>6</w:t>
      </w:r>
      <w:r w:rsidRPr="009E52C2">
        <w:rPr>
          <w:noProof/>
        </w:rPr>
        <w:t>)</w:t>
      </w:r>
    </w:p>
    <w:p w14:paraId="1811B0C2" w14:textId="71182DCE" w:rsidR="00F4159D" w:rsidRDefault="00F4159D" w:rsidP="00F4159D">
      <w:pPr>
        <w:tabs>
          <w:tab w:val="left" w:pos="2127"/>
        </w:tabs>
        <w:jc w:val="both"/>
        <w:rPr>
          <w:noProof/>
        </w:rPr>
      </w:pPr>
      <w:r>
        <w:rPr>
          <w:noProof/>
        </w:rPr>
        <w:t>Keterangan:</w:t>
      </w:r>
    </w:p>
    <w:p w14:paraId="7385CB41" w14:textId="6297B5D7" w:rsidR="00F4159D" w:rsidRDefault="00F4159D" w:rsidP="00F4159D">
      <w:pPr>
        <w:tabs>
          <w:tab w:val="left" w:pos="1985"/>
          <w:tab w:val="left" w:pos="2127"/>
        </w:tabs>
        <w:jc w:val="both"/>
        <w:rPr>
          <w:noProof/>
        </w:rPr>
      </w:pPr>
      <w:r>
        <w:rPr>
          <w:noProof/>
        </w:rPr>
        <w:t>GAAP_ETR</w:t>
      </w:r>
      <w:r>
        <w:rPr>
          <w:noProof/>
        </w:rPr>
        <w:tab/>
      </w:r>
      <w:r>
        <w:rPr>
          <w:noProof/>
        </w:rPr>
        <w:tab/>
        <w:t xml:space="preserve">= </w:t>
      </w:r>
      <w:r>
        <w:rPr>
          <w:i/>
          <w:iCs/>
          <w:noProof/>
        </w:rPr>
        <w:t>General Accepted Accounting Principles Effective Tax Rate</w:t>
      </w:r>
    </w:p>
    <w:p w14:paraId="6ED37D1D" w14:textId="7127D869" w:rsidR="00F4159D" w:rsidRDefault="00F4159D" w:rsidP="00F4159D">
      <w:pPr>
        <w:tabs>
          <w:tab w:val="left" w:pos="1985"/>
          <w:tab w:val="left" w:pos="2127"/>
        </w:tabs>
        <w:jc w:val="both"/>
        <w:rPr>
          <w:noProof/>
        </w:rPr>
      </w:pPr>
      <w:r>
        <w:rPr>
          <w:noProof/>
        </w:rPr>
        <w:t>Current_ETR</w:t>
      </w:r>
      <w:r>
        <w:rPr>
          <w:noProof/>
        </w:rPr>
        <w:tab/>
      </w:r>
      <w:r>
        <w:rPr>
          <w:noProof/>
        </w:rPr>
        <w:tab/>
        <w:t xml:space="preserve">= </w:t>
      </w:r>
      <w:r>
        <w:rPr>
          <w:i/>
          <w:iCs/>
          <w:noProof/>
        </w:rPr>
        <w:t>Current Effective Tax Rate</w:t>
      </w:r>
    </w:p>
    <w:p w14:paraId="4273AF28" w14:textId="20A63626" w:rsidR="00F4159D" w:rsidRDefault="00F4159D" w:rsidP="00F4159D">
      <w:pPr>
        <w:tabs>
          <w:tab w:val="left" w:pos="1985"/>
          <w:tab w:val="left" w:pos="2127"/>
        </w:tabs>
        <w:jc w:val="both"/>
        <w:rPr>
          <w:noProof/>
        </w:rPr>
      </w:pPr>
      <w:r>
        <w:rPr>
          <w:noProof/>
        </w:rPr>
        <w:lastRenderedPageBreak/>
        <w:t>Spesialis</w:t>
      </w:r>
      <w:r>
        <w:rPr>
          <w:noProof/>
        </w:rPr>
        <w:tab/>
      </w:r>
      <w:r>
        <w:rPr>
          <w:noProof/>
        </w:rPr>
        <w:tab/>
        <w:t>= Spesialisasi Industri Auditor</w:t>
      </w:r>
    </w:p>
    <w:p w14:paraId="6B13617A" w14:textId="237808FA" w:rsidR="00F4159D" w:rsidRDefault="00F4159D" w:rsidP="00F4159D">
      <w:pPr>
        <w:tabs>
          <w:tab w:val="left" w:pos="1985"/>
          <w:tab w:val="left" w:pos="2127"/>
        </w:tabs>
        <w:jc w:val="both"/>
        <w:rPr>
          <w:noProof/>
        </w:rPr>
      </w:pPr>
      <w:r>
        <w:rPr>
          <w:noProof/>
        </w:rPr>
        <w:t>Audit_Fee</w:t>
      </w:r>
      <w:r>
        <w:rPr>
          <w:noProof/>
        </w:rPr>
        <w:tab/>
      </w:r>
      <w:r>
        <w:rPr>
          <w:noProof/>
        </w:rPr>
        <w:tab/>
        <w:t xml:space="preserve">= </w:t>
      </w:r>
      <w:r w:rsidRPr="000B01F6">
        <w:rPr>
          <w:i/>
          <w:iCs/>
          <w:noProof/>
        </w:rPr>
        <w:t>Audit Fee</w:t>
      </w:r>
    </w:p>
    <w:p w14:paraId="618F7E41" w14:textId="4EFD2900" w:rsidR="00F4159D" w:rsidRDefault="00F4159D" w:rsidP="00F4159D">
      <w:pPr>
        <w:tabs>
          <w:tab w:val="left" w:pos="1985"/>
          <w:tab w:val="left" w:pos="2127"/>
        </w:tabs>
        <w:jc w:val="both"/>
        <w:rPr>
          <w:noProof/>
        </w:rPr>
      </w:pPr>
      <w:r>
        <w:rPr>
          <w:noProof/>
        </w:rPr>
        <w:t>Audit_Tenure</w:t>
      </w:r>
      <w:r>
        <w:rPr>
          <w:noProof/>
        </w:rPr>
        <w:tab/>
      </w:r>
      <w:r>
        <w:rPr>
          <w:noProof/>
        </w:rPr>
        <w:tab/>
        <w:t xml:space="preserve">= </w:t>
      </w:r>
      <w:r>
        <w:rPr>
          <w:i/>
          <w:iCs/>
          <w:noProof/>
        </w:rPr>
        <w:t>Audit Tenure</w:t>
      </w:r>
    </w:p>
    <w:p w14:paraId="58EB640B" w14:textId="611AB818" w:rsidR="00F4159D" w:rsidRDefault="00F4159D" w:rsidP="00F4159D">
      <w:pPr>
        <w:tabs>
          <w:tab w:val="left" w:pos="1985"/>
          <w:tab w:val="left" w:pos="2127"/>
        </w:tabs>
        <w:jc w:val="both"/>
        <w:rPr>
          <w:noProof/>
        </w:rPr>
      </w:pPr>
      <w:r>
        <w:rPr>
          <w:noProof/>
        </w:rPr>
        <w:t>Leverage</w:t>
      </w:r>
      <w:r>
        <w:rPr>
          <w:noProof/>
        </w:rPr>
        <w:tab/>
      </w:r>
      <w:r>
        <w:rPr>
          <w:noProof/>
        </w:rPr>
        <w:tab/>
        <w:t xml:space="preserve">= </w:t>
      </w:r>
      <w:r w:rsidRPr="000B01F6">
        <w:rPr>
          <w:i/>
          <w:iCs/>
          <w:noProof/>
        </w:rPr>
        <w:t>Leverage</w:t>
      </w:r>
    </w:p>
    <w:p w14:paraId="5969F16E" w14:textId="59155B6A" w:rsidR="00F4159D" w:rsidRDefault="00F4159D" w:rsidP="00F4159D">
      <w:pPr>
        <w:tabs>
          <w:tab w:val="left" w:pos="1560"/>
          <w:tab w:val="left" w:pos="1985"/>
          <w:tab w:val="left" w:pos="2127"/>
        </w:tabs>
        <w:jc w:val="both"/>
        <w:rPr>
          <w:noProof/>
        </w:rPr>
      </w:pPr>
      <w:r>
        <w:rPr>
          <w:noProof/>
        </w:rPr>
        <w:t>Ukuran_Perusahaan</w:t>
      </w:r>
      <w:r>
        <w:rPr>
          <w:noProof/>
        </w:rPr>
        <w:tab/>
      </w:r>
      <w:r>
        <w:rPr>
          <w:noProof/>
        </w:rPr>
        <w:tab/>
        <w:t>= Ukuran Perusahaan</w:t>
      </w:r>
    </w:p>
    <w:p w14:paraId="10923994" w14:textId="505FF754" w:rsidR="00953238" w:rsidRDefault="00F4159D" w:rsidP="0093659F">
      <w:pPr>
        <w:tabs>
          <w:tab w:val="left" w:pos="2127"/>
        </w:tabs>
        <w:spacing w:after="120"/>
        <w:jc w:val="both"/>
        <w:rPr>
          <w:i/>
          <w:iCs/>
          <w:noProof/>
        </w:rPr>
      </w:pPr>
      <w:r>
        <w:rPr>
          <w:noProof/>
        </w:rPr>
        <w:t>ROA</w:t>
      </w:r>
      <w:r>
        <w:rPr>
          <w:noProof/>
        </w:rPr>
        <w:tab/>
        <w:t xml:space="preserve">= </w:t>
      </w:r>
      <w:r w:rsidRPr="000B01F6">
        <w:rPr>
          <w:i/>
          <w:iCs/>
          <w:noProof/>
        </w:rPr>
        <w:t>Return on Asset</w:t>
      </w:r>
      <w:r>
        <w:rPr>
          <w:i/>
          <w:iCs/>
          <w:noProof/>
        </w:rPr>
        <w:t>s</w:t>
      </w:r>
    </w:p>
    <w:p w14:paraId="69A6C98B" w14:textId="329BD598" w:rsidR="00F4159D" w:rsidRPr="00F4159D" w:rsidRDefault="00F4159D" w:rsidP="00F4159D">
      <w:pPr>
        <w:pStyle w:val="Caption"/>
        <w:keepNext/>
        <w:jc w:val="center"/>
        <w:rPr>
          <w:sz w:val="24"/>
          <w:szCs w:val="24"/>
        </w:rPr>
      </w:pPr>
      <w:r w:rsidRPr="00F4159D">
        <w:rPr>
          <w:sz w:val="24"/>
          <w:szCs w:val="24"/>
        </w:rPr>
        <w:t xml:space="preserve">Tabel </w:t>
      </w:r>
      <w:r w:rsidRPr="00F4159D">
        <w:rPr>
          <w:sz w:val="24"/>
          <w:szCs w:val="24"/>
        </w:rPr>
        <w:fldChar w:fldCharType="begin"/>
      </w:r>
      <w:r w:rsidRPr="00F4159D">
        <w:rPr>
          <w:sz w:val="24"/>
          <w:szCs w:val="24"/>
        </w:rPr>
        <w:instrText xml:space="preserve"> SEQ Tabel \* ARABIC </w:instrText>
      </w:r>
      <w:r w:rsidRPr="00F4159D">
        <w:rPr>
          <w:sz w:val="24"/>
          <w:szCs w:val="24"/>
        </w:rPr>
        <w:fldChar w:fldCharType="separate"/>
      </w:r>
      <w:r w:rsidR="005543C9">
        <w:rPr>
          <w:noProof/>
          <w:sz w:val="24"/>
          <w:szCs w:val="24"/>
        </w:rPr>
        <w:t>4</w:t>
      </w:r>
      <w:r w:rsidRPr="00F4159D">
        <w:rPr>
          <w:sz w:val="24"/>
          <w:szCs w:val="24"/>
        </w:rPr>
        <w:fldChar w:fldCharType="end"/>
      </w:r>
      <w:r w:rsidRPr="00F4159D">
        <w:rPr>
          <w:sz w:val="24"/>
          <w:szCs w:val="24"/>
        </w:rPr>
        <w:t>. Statistik Deskriptif Variabel Dummy</w:t>
      </w:r>
    </w:p>
    <w:tbl>
      <w:tblPr>
        <w:tblW w:w="7340" w:type="dxa"/>
        <w:jc w:val="center"/>
        <w:tblLook w:val="04A0" w:firstRow="1" w:lastRow="0" w:firstColumn="1" w:lastColumn="0" w:noHBand="0" w:noVBand="1"/>
      </w:tblPr>
      <w:tblGrid>
        <w:gridCol w:w="1329"/>
        <w:gridCol w:w="1173"/>
        <w:gridCol w:w="2112"/>
        <w:gridCol w:w="1417"/>
        <w:gridCol w:w="1309"/>
      </w:tblGrid>
      <w:tr w:rsidR="00F4159D" w:rsidRPr="00370171" w14:paraId="6B0E7F00" w14:textId="77777777" w:rsidTr="00654974">
        <w:trPr>
          <w:trHeight w:val="900"/>
          <w:jc w:val="center"/>
        </w:trPr>
        <w:tc>
          <w:tcPr>
            <w:tcW w:w="1340" w:type="dxa"/>
            <w:tcBorders>
              <w:top w:val="single" w:sz="4" w:space="0" w:color="000000"/>
              <w:left w:val="single" w:sz="4" w:space="0" w:color="000000"/>
              <w:bottom w:val="single" w:sz="4" w:space="0" w:color="000000"/>
              <w:right w:val="single" w:sz="4" w:space="0" w:color="000000"/>
            </w:tcBorders>
            <w:vAlign w:val="center"/>
            <w:hideMark/>
          </w:tcPr>
          <w:p w14:paraId="2AEB86D4" w14:textId="77777777" w:rsidR="00F4159D" w:rsidRPr="00370171" w:rsidRDefault="00F4159D" w:rsidP="00654974">
            <w:pPr>
              <w:jc w:val="center"/>
              <w:rPr>
                <w:b/>
                <w:bCs/>
                <w:color w:val="000000"/>
              </w:rPr>
            </w:pPr>
            <w:r w:rsidRPr="00370171">
              <w:rPr>
                <w:b/>
                <w:bCs/>
                <w:color w:val="000000"/>
              </w:rPr>
              <w:t xml:space="preserve">Variabel </w:t>
            </w:r>
            <w:r w:rsidRPr="00370171">
              <w:rPr>
                <w:b/>
                <w:bCs/>
                <w:i/>
                <w:iCs/>
                <w:color w:val="000000"/>
              </w:rPr>
              <w:t>Dummy</w:t>
            </w:r>
          </w:p>
        </w:tc>
        <w:tc>
          <w:tcPr>
            <w:tcW w:w="1180" w:type="dxa"/>
            <w:tcBorders>
              <w:top w:val="single" w:sz="4" w:space="0" w:color="000000"/>
              <w:left w:val="nil"/>
              <w:bottom w:val="single" w:sz="4" w:space="0" w:color="000000"/>
              <w:right w:val="single" w:sz="4" w:space="0" w:color="000000"/>
            </w:tcBorders>
            <w:vAlign w:val="center"/>
            <w:hideMark/>
          </w:tcPr>
          <w:p w14:paraId="28A03D1F" w14:textId="77777777" w:rsidR="00F4159D" w:rsidRPr="00370171" w:rsidRDefault="00F4159D" w:rsidP="00654974">
            <w:pPr>
              <w:jc w:val="center"/>
              <w:rPr>
                <w:b/>
                <w:bCs/>
                <w:color w:val="000000"/>
              </w:rPr>
            </w:pPr>
            <w:r w:rsidRPr="00370171">
              <w:rPr>
                <w:b/>
                <w:bCs/>
                <w:color w:val="000000"/>
              </w:rPr>
              <w:t>Kategori</w:t>
            </w:r>
          </w:p>
        </w:tc>
        <w:tc>
          <w:tcPr>
            <w:tcW w:w="2220" w:type="dxa"/>
            <w:tcBorders>
              <w:top w:val="single" w:sz="4" w:space="0" w:color="000000"/>
              <w:left w:val="nil"/>
              <w:bottom w:val="single" w:sz="4" w:space="0" w:color="000000"/>
              <w:right w:val="single" w:sz="4" w:space="0" w:color="000000"/>
            </w:tcBorders>
            <w:vAlign w:val="center"/>
            <w:hideMark/>
          </w:tcPr>
          <w:p w14:paraId="26559A64" w14:textId="77777777" w:rsidR="00F4159D" w:rsidRPr="00370171" w:rsidRDefault="00F4159D" w:rsidP="00654974">
            <w:pPr>
              <w:jc w:val="center"/>
              <w:rPr>
                <w:b/>
                <w:bCs/>
                <w:color w:val="000000"/>
              </w:rPr>
            </w:pPr>
            <w:r w:rsidRPr="00370171">
              <w:rPr>
                <w:b/>
                <w:bCs/>
                <w:color w:val="000000"/>
              </w:rPr>
              <w:t>Makna Kategori</w:t>
            </w:r>
          </w:p>
        </w:tc>
        <w:tc>
          <w:tcPr>
            <w:tcW w:w="1440" w:type="dxa"/>
            <w:tcBorders>
              <w:top w:val="single" w:sz="4" w:space="0" w:color="000000"/>
              <w:left w:val="nil"/>
              <w:bottom w:val="single" w:sz="4" w:space="0" w:color="000000"/>
              <w:right w:val="single" w:sz="4" w:space="0" w:color="000000"/>
            </w:tcBorders>
            <w:vAlign w:val="center"/>
            <w:hideMark/>
          </w:tcPr>
          <w:p w14:paraId="3D10B6C9" w14:textId="77777777" w:rsidR="00F4159D" w:rsidRPr="00370171" w:rsidRDefault="00F4159D" w:rsidP="00654974">
            <w:pPr>
              <w:jc w:val="center"/>
              <w:rPr>
                <w:b/>
                <w:bCs/>
                <w:color w:val="000000"/>
              </w:rPr>
            </w:pPr>
            <w:r w:rsidRPr="00370171">
              <w:rPr>
                <w:b/>
                <w:bCs/>
                <w:color w:val="000000"/>
              </w:rPr>
              <w:t>Frekuensi atau Jumlah</w:t>
            </w:r>
          </w:p>
        </w:tc>
        <w:tc>
          <w:tcPr>
            <w:tcW w:w="1160" w:type="dxa"/>
            <w:tcBorders>
              <w:top w:val="single" w:sz="4" w:space="0" w:color="000000"/>
              <w:left w:val="nil"/>
              <w:bottom w:val="single" w:sz="4" w:space="0" w:color="000000"/>
              <w:right w:val="single" w:sz="4" w:space="0" w:color="000000"/>
            </w:tcBorders>
            <w:vAlign w:val="center"/>
            <w:hideMark/>
          </w:tcPr>
          <w:p w14:paraId="4541094C" w14:textId="77777777" w:rsidR="00F4159D" w:rsidRPr="00370171" w:rsidRDefault="00F4159D" w:rsidP="00654974">
            <w:pPr>
              <w:jc w:val="center"/>
              <w:rPr>
                <w:b/>
                <w:bCs/>
                <w:color w:val="000000"/>
              </w:rPr>
            </w:pPr>
            <w:r w:rsidRPr="00370171">
              <w:rPr>
                <w:b/>
                <w:bCs/>
                <w:color w:val="000000"/>
              </w:rPr>
              <w:t>Persentase</w:t>
            </w:r>
            <w:r w:rsidRPr="00370171">
              <w:rPr>
                <w:b/>
                <w:bCs/>
                <w:color w:val="000000"/>
              </w:rPr>
              <w:br/>
              <w:t>(%)</w:t>
            </w:r>
          </w:p>
        </w:tc>
      </w:tr>
      <w:tr w:rsidR="00F4159D" w:rsidRPr="00370171" w14:paraId="363FAE5F" w14:textId="77777777" w:rsidTr="00654974">
        <w:trPr>
          <w:trHeight w:val="900"/>
          <w:jc w:val="center"/>
        </w:trPr>
        <w:tc>
          <w:tcPr>
            <w:tcW w:w="1340" w:type="dxa"/>
            <w:vMerge w:val="restart"/>
            <w:tcBorders>
              <w:top w:val="nil"/>
              <w:left w:val="single" w:sz="4" w:space="0" w:color="000000"/>
              <w:bottom w:val="single" w:sz="4" w:space="0" w:color="000000"/>
              <w:right w:val="single" w:sz="4" w:space="0" w:color="000000"/>
            </w:tcBorders>
            <w:vAlign w:val="center"/>
            <w:hideMark/>
          </w:tcPr>
          <w:p w14:paraId="262B0D66" w14:textId="77777777" w:rsidR="00F4159D" w:rsidRPr="00370171" w:rsidRDefault="00F4159D" w:rsidP="00654974">
            <w:pPr>
              <w:rPr>
                <w:color w:val="000000"/>
              </w:rPr>
            </w:pPr>
            <w:r w:rsidRPr="00370171">
              <w:rPr>
                <w:color w:val="000000"/>
              </w:rPr>
              <w:t>Spesialisai Industri Auditor</w:t>
            </w:r>
          </w:p>
        </w:tc>
        <w:tc>
          <w:tcPr>
            <w:tcW w:w="1180" w:type="dxa"/>
            <w:tcBorders>
              <w:top w:val="nil"/>
              <w:left w:val="nil"/>
              <w:bottom w:val="single" w:sz="4" w:space="0" w:color="000000"/>
              <w:right w:val="single" w:sz="4" w:space="0" w:color="000000"/>
            </w:tcBorders>
            <w:vAlign w:val="center"/>
            <w:hideMark/>
          </w:tcPr>
          <w:p w14:paraId="5CADD932" w14:textId="77777777" w:rsidR="00F4159D" w:rsidRPr="00370171" w:rsidRDefault="00F4159D" w:rsidP="00654974">
            <w:pPr>
              <w:jc w:val="right"/>
              <w:rPr>
                <w:color w:val="000000"/>
              </w:rPr>
            </w:pPr>
            <w:r w:rsidRPr="00370171">
              <w:rPr>
                <w:color w:val="000000"/>
              </w:rPr>
              <w:t>1</w:t>
            </w:r>
          </w:p>
        </w:tc>
        <w:tc>
          <w:tcPr>
            <w:tcW w:w="2220" w:type="dxa"/>
            <w:tcBorders>
              <w:top w:val="nil"/>
              <w:left w:val="nil"/>
              <w:bottom w:val="single" w:sz="4" w:space="0" w:color="000000"/>
              <w:right w:val="single" w:sz="4" w:space="0" w:color="000000"/>
            </w:tcBorders>
            <w:vAlign w:val="center"/>
            <w:hideMark/>
          </w:tcPr>
          <w:p w14:paraId="14723686" w14:textId="77777777" w:rsidR="00F4159D" w:rsidRPr="00370171" w:rsidRDefault="00F4159D" w:rsidP="00654974">
            <w:pPr>
              <w:rPr>
                <w:color w:val="000000"/>
              </w:rPr>
            </w:pPr>
            <w:r w:rsidRPr="00370171">
              <w:rPr>
                <w:color w:val="000000"/>
              </w:rPr>
              <w:t>Sampel Perusahaan diaudit oleh auditor spesialis</w:t>
            </w:r>
          </w:p>
        </w:tc>
        <w:tc>
          <w:tcPr>
            <w:tcW w:w="1440" w:type="dxa"/>
            <w:tcBorders>
              <w:top w:val="nil"/>
              <w:left w:val="nil"/>
              <w:bottom w:val="single" w:sz="4" w:space="0" w:color="000000"/>
              <w:right w:val="single" w:sz="4" w:space="0" w:color="000000"/>
            </w:tcBorders>
            <w:vAlign w:val="center"/>
            <w:hideMark/>
          </w:tcPr>
          <w:p w14:paraId="7CA2609B" w14:textId="77777777" w:rsidR="00F4159D" w:rsidRPr="00370171" w:rsidRDefault="00F4159D" w:rsidP="00654974">
            <w:pPr>
              <w:jc w:val="right"/>
              <w:rPr>
                <w:color w:val="000000"/>
              </w:rPr>
            </w:pPr>
            <w:r w:rsidRPr="00370171">
              <w:rPr>
                <w:color w:val="000000"/>
              </w:rPr>
              <w:t>34</w:t>
            </w:r>
          </w:p>
        </w:tc>
        <w:tc>
          <w:tcPr>
            <w:tcW w:w="1160" w:type="dxa"/>
            <w:tcBorders>
              <w:top w:val="nil"/>
              <w:left w:val="nil"/>
              <w:bottom w:val="single" w:sz="4" w:space="0" w:color="000000"/>
              <w:right w:val="single" w:sz="4" w:space="0" w:color="000000"/>
            </w:tcBorders>
            <w:vAlign w:val="center"/>
            <w:hideMark/>
          </w:tcPr>
          <w:p w14:paraId="7C6127C5" w14:textId="77777777" w:rsidR="00F4159D" w:rsidRPr="00370171" w:rsidRDefault="00F4159D" w:rsidP="00654974">
            <w:pPr>
              <w:jc w:val="right"/>
              <w:rPr>
                <w:color w:val="000000"/>
              </w:rPr>
            </w:pPr>
            <w:r w:rsidRPr="00370171">
              <w:rPr>
                <w:color w:val="000000"/>
              </w:rPr>
              <w:t>32.38%</w:t>
            </w:r>
          </w:p>
        </w:tc>
      </w:tr>
      <w:tr w:rsidR="00F4159D" w:rsidRPr="00370171" w14:paraId="6FD29972" w14:textId="77777777" w:rsidTr="00654974">
        <w:trPr>
          <w:trHeight w:val="900"/>
          <w:jc w:val="center"/>
        </w:trPr>
        <w:tc>
          <w:tcPr>
            <w:tcW w:w="1340" w:type="dxa"/>
            <w:vMerge/>
            <w:tcBorders>
              <w:top w:val="nil"/>
              <w:left w:val="single" w:sz="4" w:space="0" w:color="000000"/>
              <w:bottom w:val="single" w:sz="4" w:space="0" w:color="000000"/>
              <w:right w:val="single" w:sz="4" w:space="0" w:color="000000"/>
            </w:tcBorders>
            <w:vAlign w:val="center"/>
            <w:hideMark/>
          </w:tcPr>
          <w:p w14:paraId="44114B74" w14:textId="77777777" w:rsidR="00F4159D" w:rsidRPr="00370171" w:rsidRDefault="00F4159D" w:rsidP="00654974">
            <w:pPr>
              <w:rPr>
                <w:color w:val="000000"/>
              </w:rPr>
            </w:pPr>
          </w:p>
        </w:tc>
        <w:tc>
          <w:tcPr>
            <w:tcW w:w="1180" w:type="dxa"/>
            <w:tcBorders>
              <w:top w:val="nil"/>
              <w:left w:val="nil"/>
              <w:bottom w:val="single" w:sz="4" w:space="0" w:color="000000"/>
              <w:right w:val="single" w:sz="4" w:space="0" w:color="000000"/>
            </w:tcBorders>
            <w:vAlign w:val="center"/>
            <w:hideMark/>
          </w:tcPr>
          <w:p w14:paraId="66886BEB" w14:textId="77777777" w:rsidR="00F4159D" w:rsidRPr="00370171" w:rsidRDefault="00F4159D" w:rsidP="00654974">
            <w:pPr>
              <w:jc w:val="right"/>
              <w:rPr>
                <w:color w:val="000000"/>
              </w:rPr>
            </w:pPr>
            <w:r w:rsidRPr="00370171">
              <w:rPr>
                <w:color w:val="000000"/>
              </w:rPr>
              <w:t>0</w:t>
            </w:r>
          </w:p>
        </w:tc>
        <w:tc>
          <w:tcPr>
            <w:tcW w:w="2220" w:type="dxa"/>
            <w:tcBorders>
              <w:top w:val="nil"/>
              <w:left w:val="nil"/>
              <w:bottom w:val="single" w:sz="4" w:space="0" w:color="000000"/>
              <w:right w:val="single" w:sz="4" w:space="0" w:color="000000"/>
            </w:tcBorders>
            <w:vAlign w:val="center"/>
            <w:hideMark/>
          </w:tcPr>
          <w:p w14:paraId="1AA0FADA" w14:textId="77777777" w:rsidR="00F4159D" w:rsidRPr="00370171" w:rsidRDefault="00F4159D" w:rsidP="00654974">
            <w:pPr>
              <w:rPr>
                <w:color w:val="000000"/>
              </w:rPr>
            </w:pPr>
            <w:r w:rsidRPr="00370171">
              <w:rPr>
                <w:color w:val="000000"/>
              </w:rPr>
              <w:t xml:space="preserve">Sampel Perusahaan diaudit oleh auditor </w:t>
            </w:r>
            <w:r>
              <w:rPr>
                <w:color w:val="000000"/>
              </w:rPr>
              <w:t xml:space="preserve">non </w:t>
            </w:r>
            <w:r w:rsidRPr="00370171">
              <w:rPr>
                <w:color w:val="000000"/>
              </w:rPr>
              <w:t>spesialis</w:t>
            </w:r>
          </w:p>
        </w:tc>
        <w:tc>
          <w:tcPr>
            <w:tcW w:w="1440" w:type="dxa"/>
            <w:tcBorders>
              <w:top w:val="nil"/>
              <w:left w:val="nil"/>
              <w:bottom w:val="single" w:sz="4" w:space="0" w:color="000000"/>
              <w:right w:val="single" w:sz="4" w:space="0" w:color="000000"/>
            </w:tcBorders>
            <w:vAlign w:val="center"/>
            <w:hideMark/>
          </w:tcPr>
          <w:p w14:paraId="2CC446ED" w14:textId="77777777" w:rsidR="00F4159D" w:rsidRPr="00370171" w:rsidRDefault="00F4159D" w:rsidP="00654974">
            <w:pPr>
              <w:jc w:val="right"/>
              <w:rPr>
                <w:color w:val="000000"/>
              </w:rPr>
            </w:pPr>
            <w:r w:rsidRPr="00370171">
              <w:rPr>
                <w:color w:val="000000"/>
              </w:rPr>
              <w:t>71</w:t>
            </w:r>
          </w:p>
        </w:tc>
        <w:tc>
          <w:tcPr>
            <w:tcW w:w="1160" w:type="dxa"/>
            <w:tcBorders>
              <w:top w:val="nil"/>
              <w:left w:val="nil"/>
              <w:bottom w:val="single" w:sz="4" w:space="0" w:color="000000"/>
              <w:right w:val="single" w:sz="4" w:space="0" w:color="000000"/>
            </w:tcBorders>
            <w:vAlign w:val="center"/>
            <w:hideMark/>
          </w:tcPr>
          <w:p w14:paraId="00E1C1C0" w14:textId="77777777" w:rsidR="00F4159D" w:rsidRPr="00370171" w:rsidRDefault="00F4159D" w:rsidP="00654974">
            <w:pPr>
              <w:jc w:val="right"/>
              <w:rPr>
                <w:color w:val="000000"/>
              </w:rPr>
            </w:pPr>
            <w:r w:rsidRPr="00370171">
              <w:rPr>
                <w:color w:val="000000"/>
              </w:rPr>
              <w:t>67.62%</w:t>
            </w:r>
          </w:p>
        </w:tc>
      </w:tr>
    </w:tbl>
    <w:p w14:paraId="572BBB8D" w14:textId="77777777" w:rsidR="00F4159D" w:rsidRDefault="00F4159D" w:rsidP="00F4159D">
      <w:pPr>
        <w:tabs>
          <w:tab w:val="left" w:pos="2127"/>
        </w:tabs>
        <w:jc w:val="both"/>
      </w:pPr>
    </w:p>
    <w:p w14:paraId="6315FDF0" w14:textId="4E32F4BD" w:rsidR="0093659F" w:rsidRDefault="0093659F" w:rsidP="00F4159D">
      <w:pPr>
        <w:tabs>
          <w:tab w:val="left" w:pos="2127"/>
        </w:tabs>
        <w:jc w:val="both"/>
        <w:rPr>
          <w:b/>
          <w:bCs/>
        </w:rPr>
      </w:pPr>
      <w:r>
        <w:rPr>
          <w:b/>
          <w:bCs/>
        </w:rPr>
        <w:t>Evaluasi Model Pengukuran (</w:t>
      </w:r>
      <w:r>
        <w:rPr>
          <w:b/>
          <w:bCs/>
          <w:i/>
          <w:iCs/>
        </w:rPr>
        <w:t>Outer Model</w:t>
      </w:r>
      <w:r>
        <w:rPr>
          <w:b/>
          <w:bCs/>
        </w:rPr>
        <w:t>)</w:t>
      </w:r>
    </w:p>
    <w:p w14:paraId="7FD7F138" w14:textId="77777777" w:rsidR="00A06764" w:rsidRDefault="0093659F" w:rsidP="00F91D99">
      <w:pPr>
        <w:tabs>
          <w:tab w:val="left" w:pos="2127"/>
        </w:tabs>
        <w:spacing w:after="80"/>
        <w:ind w:firstLine="709"/>
        <w:jc w:val="both"/>
      </w:pPr>
      <w:r w:rsidRPr="0093659F">
        <w:t>Evaluasi model pengukuran (</w:t>
      </w:r>
      <w:r w:rsidRPr="00E519A5">
        <w:rPr>
          <w:i/>
          <w:iCs/>
        </w:rPr>
        <w:t>outer model</w:t>
      </w:r>
      <w:r w:rsidRPr="0093659F">
        <w:t xml:space="preserve">) dilakukan untuk menilai apakah indikator yang digunakan dalam penelitian mampu merepresentasikan konstruk laten secara valid dan reliabel. Pengujian ini meliputi analisis </w:t>
      </w:r>
      <w:r w:rsidRPr="00E519A5">
        <w:rPr>
          <w:i/>
          <w:iCs/>
        </w:rPr>
        <w:t>outer</w:t>
      </w:r>
      <w:r w:rsidRPr="0093659F">
        <w:t xml:space="preserve"> </w:t>
      </w:r>
      <w:r w:rsidRPr="00E519A5">
        <w:rPr>
          <w:i/>
          <w:iCs/>
        </w:rPr>
        <w:t>loading</w:t>
      </w:r>
      <w:r w:rsidRPr="0093659F">
        <w:t xml:space="preserve">, </w:t>
      </w:r>
      <w:r w:rsidRPr="00E519A5">
        <w:rPr>
          <w:i/>
          <w:iCs/>
        </w:rPr>
        <w:t>outer</w:t>
      </w:r>
      <w:r w:rsidRPr="0093659F">
        <w:t xml:space="preserve"> </w:t>
      </w:r>
      <w:r w:rsidRPr="00E519A5">
        <w:rPr>
          <w:i/>
          <w:iCs/>
        </w:rPr>
        <w:t>weight</w:t>
      </w:r>
      <w:r w:rsidRPr="0093659F">
        <w:t xml:space="preserve">, serta uji multikolinearitas menggunakan nilai </w:t>
      </w:r>
      <w:r w:rsidRPr="00E519A5">
        <w:rPr>
          <w:i/>
          <w:iCs/>
        </w:rPr>
        <w:t>Variance Inflation Factor</w:t>
      </w:r>
      <w:r w:rsidRPr="0093659F">
        <w:t xml:space="preserve"> (VIF). Evaluasi </w:t>
      </w:r>
      <w:r w:rsidRPr="00E519A5">
        <w:rPr>
          <w:i/>
          <w:iCs/>
        </w:rPr>
        <w:t>outer</w:t>
      </w:r>
      <w:r w:rsidRPr="0093659F">
        <w:t xml:space="preserve"> </w:t>
      </w:r>
      <w:r w:rsidRPr="00E519A5">
        <w:rPr>
          <w:i/>
          <w:iCs/>
        </w:rPr>
        <w:t>model</w:t>
      </w:r>
      <w:r w:rsidRPr="0093659F">
        <w:t xml:space="preserve"> bertujuan untuk memastikan bahwa indikator yang digunakan memiliki kontribusi yang memadai dalam membentuk variabel laten sehingga dapat digunakan pada tahap analisis model struktural.</w:t>
      </w:r>
    </w:p>
    <w:p w14:paraId="234AA7CD" w14:textId="48299F7A" w:rsidR="0093659F" w:rsidRDefault="0093659F" w:rsidP="00A06764">
      <w:pPr>
        <w:tabs>
          <w:tab w:val="left" w:pos="2127"/>
        </w:tabs>
        <w:spacing w:after="120"/>
        <w:ind w:firstLine="709"/>
        <w:jc w:val="both"/>
      </w:pPr>
      <w:r w:rsidRPr="0093659F">
        <w:t xml:space="preserve">Pengujian </w:t>
      </w:r>
      <w:r w:rsidRPr="00E519A5">
        <w:rPr>
          <w:i/>
          <w:iCs/>
        </w:rPr>
        <w:t>outer</w:t>
      </w:r>
      <w:r w:rsidRPr="0093659F">
        <w:t xml:space="preserve"> </w:t>
      </w:r>
      <w:r w:rsidRPr="00E519A5">
        <w:rPr>
          <w:i/>
          <w:iCs/>
        </w:rPr>
        <w:t>loading</w:t>
      </w:r>
      <w:r w:rsidRPr="0093659F">
        <w:t xml:space="preserve"> dilakukan untuk menilai validitas konvergen dari setiap indikator. Indikator dinyatakan valid apabila memiliki nilai </w:t>
      </w:r>
      <w:r w:rsidRPr="00E519A5">
        <w:rPr>
          <w:i/>
          <w:iCs/>
        </w:rPr>
        <w:t>loading</w:t>
      </w:r>
      <w:r w:rsidRPr="0093659F">
        <w:t xml:space="preserve"> </w:t>
      </w:r>
      <w:r w:rsidRPr="00E519A5">
        <w:rPr>
          <w:i/>
          <w:iCs/>
        </w:rPr>
        <w:t>factor</w:t>
      </w:r>
      <w:r w:rsidRPr="0093659F">
        <w:t xml:space="preserve"> yang memadai</w:t>
      </w:r>
      <w:r w:rsidR="00A06764">
        <w:t xml:space="preserve"> (</w:t>
      </w:r>
      <w:r w:rsidR="00A06764" w:rsidRPr="00A06764">
        <w:rPr>
          <w:i/>
          <w:iCs/>
        </w:rPr>
        <w:t>outer loading</w:t>
      </w:r>
      <w:r w:rsidR="00A06764">
        <w:t xml:space="preserve"> &gt; 0,70)</w:t>
      </w:r>
      <w:r w:rsidRPr="0093659F">
        <w:t xml:space="preserve">. Hasil pengujian menunjukkan bahwa indikator yang digunakan memiliki nilai </w:t>
      </w:r>
      <w:r w:rsidRPr="00E519A5">
        <w:rPr>
          <w:i/>
          <w:iCs/>
        </w:rPr>
        <w:t>outer</w:t>
      </w:r>
      <w:r w:rsidRPr="0093659F">
        <w:t xml:space="preserve"> </w:t>
      </w:r>
      <w:r w:rsidRPr="00E519A5">
        <w:rPr>
          <w:i/>
          <w:iCs/>
        </w:rPr>
        <w:t>loading</w:t>
      </w:r>
      <w:r w:rsidRPr="0093659F">
        <w:t xml:space="preserve"> yang memenuhi kriteria sehingga dapat digunakan dalam analisis selanjutnya.</w:t>
      </w:r>
      <w:r w:rsidR="00A06764">
        <w:t xml:space="preserve"> </w:t>
      </w:r>
      <w:r w:rsidR="00A06764" w:rsidRPr="00A06764">
        <w:t xml:space="preserve">Nilai </w:t>
      </w:r>
      <w:r w:rsidR="00A06764" w:rsidRPr="00E519A5">
        <w:rPr>
          <w:i/>
          <w:iCs/>
        </w:rPr>
        <w:t>outer</w:t>
      </w:r>
      <w:r w:rsidR="00A06764" w:rsidRPr="00A06764">
        <w:t xml:space="preserve"> </w:t>
      </w:r>
      <w:r w:rsidR="00A06764" w:rsidRPr="00E519A5">
        <w:rPr>
          <w:i/>
          <w:iCs/>
        </w:rPr>
        <w:t>loading</w:t>
      </w:r>
      <w:r w:rsidR="00A06764" w:rsidRPr="00A06764">
        <w:t xml:space="preserve"> pada setiap indikator menunjukkan nilai di atas batas minimum yang direkomendasikan sehingga dapat disimpulkan bahwa indikator yang digunakan mampu merepresentasikan konstruk </w:t>
      </w:r>
      <w:r w:rsidR="00A06764" w:rsidRPr="00E519A5">
        <w:rPr>
          <w:i/>
          <w:iCs/>
        </w:rPr>
        <w:t>tax</w:t>
      </w:r>
      <w:r w:rsidR="00A06764" w:rsidRPr="00A06764">
        <w:t xml:space="preserve"> </w:t>
      </w:r>
      <w:r w:rsidR="00A06764" w:rsidRPr="00E519A5">
        <w:rPr>
          <w:i/>
          <w:iCs/>
        </w:rPr>
        <w:t>evasion</w:t>
      </w:r>
      <w:r w:rsidR="00A06764" w:rsidRPr="00A06764">
        <w:t xml:space="preserve"> secara memadai.</w:t>
      </w:r>
    </w:p>
    <w:p w14:paraId="37DD18DB" w14:textId="0930F294" w:rsidR="00A06764" w:rsidRPr="00A06764" w:rsidRDefault="00A06764" w:rsidP="00A06764">
      <w:pPr>
        <w:pStyle w:val="Caption"/>
        <w:keepNext/>
        <w:jc w:val="center"/>
        <w:rPr>
          <w:sz w:val="24"/>
          <w:szCs w:val="24"/>
        </w:rPr>
      </w:pPr>
      <w:r w:rsidRPr="00A06764">
        <w:rPr>
          <w:sz w:val="24"/>
          <w:szCs w:val="24"/>
        </w:rPr>
        <w:t xml:space="preserve">Tabel </w:t>
      </w:r>
      <w:r w:rsidRPr="00A06764">
        <w:rPr>
          <w:sz w:val="24"/>
          <w:szCs w:val="24"/>
        </w:rPr>
        <w:fldChar w:fldCharType="begin"/>
      </w:r>
      <w:r w:rsidRPr="00A06764">
        <w:rPr>
          <w:sz w:val="24"/>
          <w:szCs w:val="24"/>
        </w:rPr>
        <w:instrText xml:space="preserve"> SEQ Tabel \* ARABIC </w:instrText>
      </w:r>
      <w:r w:rsidRPr="00A06764">
        <w:rPr>
          <w:sz w:val="24"/>
          <w:szCs w:val="24"/>
        </w:rPr>
        <w:fldChar w:fldCharType="separate"/>
      </w:r>
      <w:r w:rsidR="005543C9">
        <w:rPr>
          <w:noProof/>
          <w:sz w:val="24"/>
          <w:szCs w:val="24"/>
        </w:rPr>
        <w:t>5</w:t>
      </w:r>
      <w:r w:rsidRPr="00A06764">
        <w:rPr>
          <w:sz w:val="24"/>
          <w:szCs w:val="24"/>
        </w:rPr>
        <w:fldChar w:fldCharType="end"/>
      </w:r>
      <w:r w:rsidRPr="00A06764">
        <w:rPr>
          <w:sz w:val="24"/>
          <w:szCs w:val="24"/>
        </w:rPr>
        <w:t xml:space="preserve">. </w:t>
      </w:r>
      <w:r w:rsidRPr="00A06764">
        <w:rPr>
          <w:i/>
          <w:iCs/>
          <w:sz w:val="24"/>
          <w:szCs w:val="24"/>
        </w:rPr>
        <w:t>Outer Loading</w:t>
      </w:r>
    </w:p>
    <w:tbl>
      <w:tblPr>
        <w:tblW w:w="4868" w:type="pct"/>
        <w:tblInd w:w="120" w:type="dxa"/>
        <w:tblCellMar>
          <w:top w:w="15" w:type="dxa"/>
          <w:left w:w="15" w:type="dxa"/>
          <w:bottom w:w="15" w:type="dxa"/>
          <w:right w:w="15" w:type="dxa"/>
        </w:tblCellMar>
        <w:tblLook w:val="04A0" w:firstRow="1" w:lastRow="0" w:firstColumn="1" w:lastColumn="0" w:noHBand="0" w:noVBand="1"/>
      </w:tblPr>
      <w:tblGrid>
        <w:gridCol w:w="1322"/>
        <w:gridCol w:w="767"/>
        <w:gridCol w:w="921"/>
        <w:gridCol w:w="920"/>
        <w:gridCol w:w="645"/>
        <w:gridCol w:w="1696"/>
        <w:gridCol w:w="947"/>
        <w:gridCol w:w="1322"/>
      </w:tblGrid>
      <w:tr w:rsidR="00A06764" w:rsidRPr="00A06764" w14:paraId="33148C72"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A93AC81" w14:textId="77777777" w:rsidR="00A06764" w:rsidRPr="00A06764" w:rsidRDefault="00A06764" w:rsidP="00654974">
            <w:pPr>
              <w:rPr>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4DBDE2" w14:textId="77777777" w:rsidR="00A06764" w:rsidRPr="00A06764" w:rsidRDefault="00A06764" w:rsidP="00654974">
            <w:pPr>
              <w:jc w:val="right"/>
              <w:rPr>
                <w:b/>
                <w:bCs/>
                <w:color w:val="000000" w:themeColor="text1"/>
                <w:sz w:val="18"/>
                <w:lang w:val="en-ID" w:eastAsia="en-ID"/>
              </w:rPr>
            </w:pPr>
            <w:r w:rsidRPr="00A06764">
              <w:rPr>
                <w:b/>
                <w:bCs/>
                <w:i/>
                <w:color w:val="000000" w:themeColor="text1"/>
                <w:sz w:val="18"/>
                <w:lang w:val="en-ID" w:eastAsia="en-ID"/>
              </w:rPr>
              <w:t>Audit fee</w:t>
            </w:r>
            <w:r w:rsidRPr="00A06764">
              <w:rPr>
                <w:b/>
                <w:bCs/>
                <w:color w:val="000000" w:themeColor="text1"/>
                <w:sz w:val="18"/>
                <w:lang w:val="en-ID" w:eastAsia="en-ID"/>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77A6BF5" w14:textId="77777777" w:rsidR="00A06764" w:rsidRPr="00A06764" w:rsidRDefault="00A06764" w:rsidP="00654974">
            <w:pPr>
              <w:jc w:val="right"/>
              <w:rPr>
                <w:b/>
                <w:bCs/>
                <w:color w:val="000000" w:themeColor="text1"/>
                <w:sz w:val="18"/>
                <w:lang w:val="en-ID" w:eastAsia="en-ID"/>
              </w:rPr>
            </w:pPr>
            <w:r w:rsidRPr="00A06764">
              <w:rPr>
                <w:b/>
                <w:bCs/>
                <w:i/>
                <w:color w:val="000000" w:themeColor="text1"/>
                <w:sz w:val="18"/>
                <w:lang w:val="en-ID" w:eastAsia="en-ID"/>
              </w:rPr>
              <w:t>Audit tenure</w:t>
            </w:r>
            <w:r w:rsidRPr="00A06764">
              <w:rPr>
                <w:b/>
                <w:bCs/>
                <w:color w:val="000000" w:themeColor="text1"/>
                <w:sz w:val="18"/>
                <w:lang w:val="en-ID" w:eastAsia="en-ID"/>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8C5C5C" w14:textId="77777777" w:rsidR="00A06764" w:rsidRPr="00A06764" w:rsidRDefault="00A06764" w:rsidP="00654974">
            <w:pPr>
              <w:jc w:val="right"/>
              <w:rPr>
                <w:b/>
                <w:bCs/>
                <w:i/>
                <w:iCs/>
                <w:color w:val="000000" w:themeColor="text1"/>
                <w:sz w:val="18"/>
                <w:lang w:val="en-ID" w:eastAsia="en-ID"/>
              </w:rPr>
            </w:pPr>
            <w:r w:rsidRPr="00A06764">
              <w:rPr>
                <w:b/>
                <w:bCs/>
                <w:i/>
                <w:iCs/>
                <w:color w:val="000000" w:themeColor="text1"/>
                <w:sz w:val="18"/>
                <w:lang w:val="en-ID" w:eastAsia="en-ID"/>
              </w:rPr>
              <w:t xml:space="preserve">Leverage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9C024C5" w14:textId="77777777" w:rsidR="00A06764" w:rsidRPr="00A06764" w:rsidRDefault="00A06764" w:rsidP="00654974">
            <w:pPr>
              <w:jc w:val="right"/>
              <w:rPr>
                <w:b/>
                <w:bCs/>
                <w:color w:val="000000" w:themeColor="text1"/>
                <w:sz w:val="18"/>
                <w:lang w:val="en-ID" w:eastAsia="en-ID"/>
              </w:rPr>
            </w:pPr>
            <w:r w:rsidRPr="00A06764">
              <w:rPr>
                <w:b/>
                <w:bCs/>
                <w:color w:val="000000" w:themeColor="text1"/>
                <w:sz w:val="18"/>
                <w:lang w:val="en-ID" w:eastAsia="en-ID"/>
              </w:rPr>
              <w:t xml:space="preserve">ROA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4F4A0B" w14:textId="77777777" w:rsidR="00A06764" w:rsidRPr="00A06764" w:rsidRDefault="00A06764" w:rsidP="00654974">
            <w:pPr>
              <w:jc w:val="right"/>
              <w:rPr>
                <w:b/>
                <w:bCs/>
                <w:color w:val="000000" w:themeColor="text1"/>
                <w:sz w:val="18"/>
                <w:lang w:val="en-ID" w:eastAsia="en-ID"/>
              </w:rPr>
            </w:pPr>
            <w:r w:rsidRPr="00A06764">
              <w:rPr>
                <w:b/>
                <w:bCs/>
                <w:color w:val="000000" w:themeColor="text1"/>
                <w:sz w:val="18"/>
                <w:lang w:val="en-ID" w:eastAsia="en-ID"/>
              </w:rPr>
              <w:t xml:space="preserve">Spesialisasi Industri Auditor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D875D8" w14:textId="77777777" w:rsidR="00A06764" w:rsidRPr="00A06764" w:rsidRDefault="00A06764" w:rsidP="00654974">
            <w:pPr>
              <w:jc w:val="right"/>
              <w:rPr>
                <w:b/>
                <w:bCs/>
                <w:color w:val="000000" w:themeColor="text1"/>
                <w:sz w:val="18"/>
                <w:lang w:val="en-ID" w:eastAsia="en-ID"/>
              </w:rPr>
            </w:pPr>
            <w:r w:rsidRPr="00A06764">
              <w:rPr>
                <w:b/>
                <w:bCs/>
                <w:i/>
                <w:color w:val="000000" w:themeColor="text1"/>
                <w:sz w:val="18"/>
                <w:lang w:val="en-ID" w:eastAsia="en-ID"/>
              </w:rPr>
              <w:t>Tax evasion</w:t>
            </w:r>
            <w:r w:rsidRPr="00A06764">
              <w:rPr>
                <w:b/>
                <w:bCs/>
                <w:color w:val="000000" w:themeColor="text1"/>
                <w:sz w:val="18"/>
                <w:lang w:val="en-ID" w:eastAsia="en-ID"/>
              </w:rPr>
              <w:t xml:space="preserve"> </w:t>
            </w: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2D9E09" w14:textId="77777777" w:rsidR="00A06764" w:rsidRPr="00A06764" w:rsidRDefault="00A06764" w:rsidP="00654974">
            <w:pPr>
              <w:jc w:val="right"/>
              <w:rPr>
                <w:b/>
                <w:bCs/>
                <w:color w:val="000000" w:themeColor="text1"/>
                <w:sz w:val="18"/>
                <w:lang w:val="en-ID" w:eastAsia="en-ID"/>
              </w:rPr>
            </w:pPr>
            <w:r w:rsidRPr="00A06764">
              <w:rPr>
                <w:b/>
                <w:bCs/>
                <w:color w:val="000000" w:themeColor="text1"/>
                <w:sz w:val="18"/>
                <w:lang w:val="en-ID" w:eastAsia="en-ID"/>
              </w:rPr>
              <w:t xml:space="preserve">Ukuran Perusahaan </w:t>
            </w:r>
          </w:p>
        </w:tc>
      </w:tr>
      <w:tr w:rsidR="00A06764" w:rsidRPr="00A06764" w14:paraId="532FC8A4"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65CCEB3" w14:textId="77777777" w:rsidR="00A06764" w:rsidRPr="00A06764" w:rsidRDefault="00A06764" w:rsidP="00654974">
            <w:pPr>
              <w:rPr>
                <w:b/>
                <w:bCs/>
                <w:color w:val="000000" w:themeColor="text1"/>
                <w:sz w:val="18"/>
                <w:lang w:val="en-ID" w:eastAsia="en-ID"/>
              </w:rPr>
            </w:pPr>
            <w:r w:rsidRPr="00A06764">
              <w:rPr>
                <w:b/>
                <w:bCs/>
                <w:i/>
                <w:color w:val="000000" w:themeColor="text1"/>
                <w:sz w:val="18"/>
                <w:lang w:val="en-ID" w:eastAsia="en-ID"/>
              </w:rPr>
              <w:t>Audit fee</w:t>
            </w:r>
            <w:r w:rsidRPr="00A06764">
              <w:rPr>
                <w:b/>
                <w:bCs/>
                <w:color w:val="000000" w:themeColor="text1"/>
                <w:sz w:val="18"/>
                <w:lang w:val="en-ID" w:eastAsia="en-ID"/>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1728857" w14:textId="77777777" w:rsidR="00A06764" w:rsidRPr="00A06764" w:rsidRDefault="00A06764" w:rsidP="00654974">
            <w:pPr>
              <w:jc w:val="right"/>
              <w:rPr>
                <w:color w:val="000000" w:themeColor="text1"/>
                <w:sz w:val="18"/>
                <w:lang w:val="en-ID" w:eastAsia="en-ID"/>
              </w:rPr>
            </w:pPr>
            <w:r w:rsidRPr="00A06764">
              <w:rPr>
                <w:color w:val="000000" w:themeColor="text1"/>
                <w:sz w:val="18"/>
                <w:lang w:val="en-ID" w:eastAsia="en-ID"/>
              </w:rPr>
              <w:t xml:space="preserve">1.000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41E526E1" w14:textId="77777777" w:rsidR="00A06764" w:rsidRPr="00A06764" w:rsidRDefault="00A06764" w:rsidP="00654974">
            <w:pPr>
              <w:jc w:val="right"/>
              <w:rPr>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F116533"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96418BD"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015E1E2"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8738B2" w14:textId="77777777" w:rsidR="00A06764" w:rsidRPr="00A06764" w:rsidRDefault="00A06764" w:rsidP="00654974">
            <w:pPr>
              <w:jc w:val="right"/>
              <w:rPr>
                <w:color w:val="000000" w:themeColor="text1"/>
                <w:sz w:val="18"/>
                <w:szCs w:val="20"/>
                <w:lang w:val="en-ID" w:eastAsia="en-ID"/>
              </w:rPr>
            </w:pP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896FB33" w14:textId="77777777" w:rsidR="00A06764" w:rsidRPr="00A06764" w:rsidRDefault="00A06764" w:rsidP="00654974">
            <w:pPr>
              <w:jc w:val="right"/>
              <w:rPr>
                <w:color w:val="000000" w:themeColor="text1"/>
                <w:sz w:val="18"/>
                <w:szCs w:val="20"/>
                <w:lang w:val="en-ID" w:eastAsia="en-ID"/>
              </w:rPr>
            </w:pPr>
          </w:p>
        </w:tc>
      </w:tr>
      <w:tr w:rsidR="00A06764" w:rsidRPr="00A06764" w14:paraId="0DECEEBC"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B3111D1" w14:textId="77777777" w:rsidR="00A06764" w:rsidRPr="00A06764" w:rsidRDefault="00A06764" w:rsidP="00654974">
            <w:pPr>
              <w:rPr>
                <w:b/>
                <w:bCs/>
                <w:color w:val="000000" w:themeColor="text1"/>
                <w:sz w:val="18"/>
                <w:lang w:val="en-ID" w:eastAsia="en-ID"/>
              </w:rPr>
            </w:pPr>
            <w:r w:rsidRPr="00A06764">
              <w:rPr>
                <w:b/>
                <w:bCs/>
                <w:i/>
                <w:color w:val="000000" w:themeColor="text1"/>
                <w:sz w:val="18"/>
                <w:lang w:val="en-ID" w:eastAsia="en-ID"/>
              </w:rPr>
              <w:t>Audit tenure</w:t>
            </w:r>
            <w:r w:rsidRPr="00A06764">
              <w:rPr>
                <w:b/>
                <w:bCs/>
                <w:color w:val="000000" w:themeColor="text1"/>
                <w:sz w:val="18"/>
                <w:lang w:val="en-ID" w:eastAsia="en-ID"/>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8581C0" w14:textId="77777777" w:rsidR="00A06764" w:rsidRPr="00A06764" w:rsidRDefault="00A06764" w:rsidP="00654974">
            <w:pPr>
              <w:rPr>
                <w:b/>
                <w:bCs/>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CF8249" w14:textId="77777777" w:rsidR="00A06764" w:rsidRPr="00A06764" w:rsidRDefault="00A06764" w:rsidP="00654974">
            <w:pPr>
              <w:jc w:val="right"/>
              <w:rPr>
                <w:color w:val="000000" w:themeColor="text1"/>
                <w:sz w:val="18"/>
                <w:lang w:val="en-ID" w:eastAsia="en-ID"/>
              </w:rPr>
            </w:pPr>
            <w:r w:rsidRPr="00A06764">
              <w:rPr>
                <w:color w:val="000000" w:themeColor="text1"/>
                <w:sz w:val="18"/>
                <w:lang w:val="en-ID" w:eastAsia="en-ID"/>
              </w:rPr>
              <w:t xml:space="preserve">1.000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C5F4B3" w14:textId="77777777" w:rsidR="00A06764" w:rsidRPr="00A06764" w:rsidRDefault="00A06764" w:rsidP="00654974">
            <w:pPr>
              <w:jc w:val="right"/>
              <w:rPr>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494A1F"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AD71F5"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2F9B704" w14:textId="77777777" w:rsidR="00A06764" w:rsidRPr="00A06764" w:rsidRDefault="00A06764" w:rsidP="00654974">
            <w:pPr>
              <w:jc w:val="right"/>
              <w:rPr>
                <w:color w:val="000000" w:themeColor="text1"/>
                <w:sz w:val="18"/>
                <w:szCs w:val="20"/>
                <w:lang w:val="en-ID" w:eastAsia="en-ID"/>
              </w:rPr>
            </w:pP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EF0DB0" w14:textId="77777777" w:rsidR="00A06764" w:rsidRPr="00A06764" w:rsidRDefault="00A06764" w:rsidP="00654974">
            <w:pPr>
              <w:jc w:val="right"/>
              <w:rPr>
                <w:color w:val="000000" w:themeColor="text1"/>
                <w:sz w:val="18"/>
                <w:szCs w:val="20"/>
                <w:lang w:val="en-ID" w:eastAsia="en-ID"/>
              </w:rPr>
            </w:pPr>
          </w:p>
        </w:tc>
      </w:tr>
      <w:tr w:rsidR="00A06764" w:rsidRPr="00A06764" w14:paraId="04D4435C"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58F54F3" w14:textId="77777777" w:rsidR="00A06764" w:rsidRPr="00A06764" w:rsidRDefault="00A06764" w:rsidP="00654974">
            <w:pPr>
              <w:rPr>
                <w:b/>
                <w:bCs/>
                <w:color w:val="000000" w:themeColor="text1"/>
                <w:sz w:val="18"/>
                <w:lang w:val="en-ID" w:eastAsia="en-ID"/>
              </w:rPr>
            </w:pPr>
            <w:r w:rsidRPr="00A06764">
              <w:rPr>
                <w:b/>
                <w:bCs/>
                <w:color w:val="000000" w:themeColor="text1"/>
                <w:sz w:val="18"/>
                <w:lang w:val="en-ID" w:eastAsia="en-ID"/>
              </w:rPr>
              <w:t xml:space="preserve">Current ETR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6BAC005" w14:textId="77777777" w:rsidR="00A06764" w:rsidRPr="00A06764" w:rsidRDefault="00A06764" w:rsidP="00654974">
            <w:pPr>
              <w:rPr>
                <w:b/>
                <w:bCs/>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5658689"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2E72663"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8B87E1B"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8CA98FE"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F5C112D" w14:textId="77777777" w:rsidR="00A06764" w:rsidRPr="00A06764" w:rsidRDefault="00A06764" w:rsidP="00654974">
            <w:pPr>
              <w:jc w:val="right"/>
              <w:rPr>
                <w:color w:val="000000" w:themeColor="text1"/>
                <w:sz w:val="18"/>
                <w:lang w:val="en-ID" w:eastAsia="en-ID"/>
              </w:rPr>
            </w:pPr>
            <w:r w:rsidRPr="00A06764">
              <w:rPr>
                <w:color w:val="000000" w:themeColor="text1"/>
                <w:sz w:val="18"/>
                <w:lang w:val="en-ID" w:eastAsia="en-ID"/>
              </w:rPr>
              <w:t xml:space="preserve">0.919 </w:t>
            </w: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A0BE170" w14:textId="77777777" w:rsidR="00A06764" w:rsidRPr="00A06764" w:rsidRDefault="00A06764" w:rsidP="00654974">
            <w:pPr>
              <w:jc w:val="right"/>
              <w:rPr>
                <w:color w:val="000000" w:themeColor="text1"/>
                <w:sz w:val="18"/>
                <w:lang w:val="en-ID" w:eastAsia="en-ID"/>
              </w:rPr>
            </w:pPr>
          </w:p>
        </w:tc>
      </w:tr>
      <w:tr w:rsidR="00A06764" w:rsidRPr="00A06764" w14:paraId="46C1CEEA"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28C057" w14:textId="77777777" w:rsidR="00A06764" w:rsidRPr="00A06764" w:rsidRDefault="00A06764" w:rsidP="00654974">
            <w:pPr>
              <w:rPr>
                <w:b/>
                <w:bCs/>
                <w:color w:val="000000" w:themeColor="text1"/>
                <w:sz w:val="18"/>
                <w:lang w:val="en-ID" w:eastAsia="en-ID"/>
              </w:rPr>
            </w:pPr>
            <w:r w:rsidRPr="00A06764">
              <w:rPr>
                <w:b/>
                <w:bCs/>
                <w:color w:val="000000" w:themeColor="text1"/>
                <w:sz w:val="18"/>
                <w:lang w:val="en-ID" w:eastAsia="en-ID"/>
              </w:rPr>
              <w:t xml:space="preserve">GAAP ETR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C67B1FB" w14:textId="77777777" w:rsidR="00A06764" w:rsidRPr="00A06764" w:rsidRDefault="00A06764" w:rsidP="00654974">
            <w:pPr>
              <w:rPr>
                <w:b/>
                <w:bCs/>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123C500"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4494A2C"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AAF442A"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D6D25B"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C50B164" w14:textId="77777777" w:rsidR="00A06764" w:rsidRPr="00A06764" w:rsidRDefault="00A06764" w:rsidP="00654974">
            <w:pPr>
              <w:jc w:val="right"/>
              <w:rPr>
                <w:color w:val="000000" w:themeColor="text1"/>
                <w:sz w:val="18"/>
                <w:lang w:val="en-ID" w:eastAsia="en-ID"/>
              </w:rPr>
            </w:pPr>
            <w:r w:rsidRPr="00A06764">
              <w:rPr>
                <w:color w:val="000000" w:themeColor="text1"/>
                <w:sz w:val="18"/>
                <w:lang w:val="en-ID" w:eastAsia="en-ID"/>
              </w:rPr>
              <w:t xml:space="preserve">0.791 </w:t>
            </w: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B23C57" w14:textId="77777777" w:rsidR="00A06764" w:rsidRPr="00A06764" w:rsidRDefault="00A06764" w:rsidP="00654974">
            <w:pPr>
              <w:jc w:val="right"/>
              <w:rPr>
                <w:color w:val="000000" w:themeColor="text1"/>
                <w:sz w:val="18"/>
                <w:lang w:val="en-ID" w:eastAsia="en-ID"/>
              </w:rPr>
            </w:pPr>
          </w:p>
        </w:tc>
      </w:tr>
      <w:tr w:rsidR="00A06764" w:rsidRPr="00A06764" w14:paraId="71A14FB7"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2BC3D9" w14:textId="77777777" w:rsidR="00A06764" w:rsidRPr="00A06764" w:rsidRDefault="00A06764" w:rsidP="00654974">
            <w:pPr>
              <w:rPr>
                <w:b/>
                <w:bCs/>
                <w:i/>
                <w:iCs/>
                <w:color w:val="000000" w:themeColor="text1"/>
                <w:sz w:val="18"/>
                <w:lang w:val="en-ID" w:eastAsia="en-ID"/>
              </w:rPr>
            </w:pPr>
            <w:r w:rsidRPr="00A06764">
              <w:rPr>
                <w:b/>
                <w:bCs/>
                <w:i/>
                <w:iCs/>
                <w:color w:val="000000" w:themeColor="text1"/>
                <w:sz w:val="18"/>
                <w:lang w:val="en-ID" w:eastAsia="en-ID"/>
              </w:rPr>
              <w:t xml:space="preserve">Leverage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E051154" w14:textId="77777777" w:rsidR="00A06764" w:rsidRPr="00A06764" w:rsidRDefault="00A06764" w:rsidP="00654974">
            <w:pPr>
              <w:rPr>
                <w:b/>
                <w:bCs/>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76B7E1"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791007" w14:textId="77777777" w:rsidR="00A06764" w:rsidRPr="00A06764" w:rsidRDefault="00A06764" w:rsidP="00654974">
            <w:pPr>
              <w:jc w:val="right"/>
              <w:rPr>
                <w:color w:val="000000" w:themeColor="text1"/>
                <w:sz w:val="18"/>
                <w:lang w:val="en-ID" w:eastAsia="en-ID"/>
              </w:rPr>
            </w:pPr>
            <w:r w:rsidRPr="00A06764">
              <w:rPr>
                <w:color w:val="000000" w:themeColor="text1"/>
                <w:sz w:val="18"/>
                <w:lang w:val="en-ID" w:eastAsia="en-ID"/>
              </w:rPr>
              <w:t xml:space="preserve">1.000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B68957E" w14:textId="77777777" w:rsidR="00A06764" w:rsidRPr="00A06764" w:rsidRDefault="00A06764" w:rsidP="00654974">
            <w:pPr>
              <w:jc w:val="right"/>
              <w:rPr>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63BB80D"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C1083D2" w14:textId="77777777" w:rsidR="00A06764" w:rsidRPr="00A06764" w:rsidRDefault="00A06764" w:rsidP="00654974">
            <w:pPr>
              <w:jc w:val="right"/>
              <w:rPr>
                <w:color w:val="000000" w:themeColor="text1"/>
                <w:sz w:val="18"/>
                <w:szCs w:val="20"/>
                <w:lang w:val="en-ID" w:eastAsia="en-ID"/>
              </w:rPr>
            </w:pP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09DD27F" w14:textId="77777777" w:rsidR="00A06764" w:rsidRPr="00A06764" w:rsidRDefault="00A06764" w:rsidP="00654974">
            <w:pPr>
              <w:jc w:val="right"/>
              <w:rPr>
                <w:color w:val="000000" w:themeColor="text1"/>
                <w:sz w:val="18"/>
                <w:szCs w:val="20"/>
                <w:lang w:val="en-ID" w:eastAsia="en-ID"/>
              </w:rPr>
            </w:pPr>
          </w:p>
        </w:tc>
      </w:tr>
      <w:tr w:rsidR="00A06764" w:rsidRPr="00A06764" w14:paraId="00C6E972"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47C09CE" w14:textId="77777777" w:rsidR="00A06764" w:rsidRPr="00A06764" w:rsidRDefault="00A06764" w:rsidP="00654974">
            <w:pPr>
              <w:rPr>
                <w:b/>
                <w:bCs/>
                <w:color w:val="000000" w:themeColor="text1"/>
                <w:sz w:val="18"/>
                <w:lang w:val="en-ID" w:eastAsia="en-ID"/>
              </w:rPr>
            </w:pPr>
            <w:r w:rsidRPr="00A06764">
              <w:rPr>
                <w:b/>
                <w:bCs/>
                <w:color w:val="000000" w:themeColor="text1"/>
                <w:sz w:val="18"/>
                <w:lang w:val="en-ID" w:eastAsia="en-ID"/>
              </w:rPr>
              <w:t xml:space="preserve">ROA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590F416" w14:textId="77777777" w:rsidR="00A06764" w:rsidRPr="00A06764" w:rsidRDefault="00A06764" w:rsidP="00654974">
            <w:pPr>
              <w:rPr>
                <w:b/>
                <w:bCs/>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F0B813"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1D280B3"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33A03E07" w14:textId="77777777" w:rsidR="00A06764" w:rsidRPr="00A06764" w:rsidRDefault="00A06764" w:rsidP="00654974">
            <w:pPr>
              <w:jc w:val="right"/>
              <w:rPr>
                <w:color w:val="000000" w:themeColor="text1"/>
                <w:sz w:val="18"/>
                <w:lang w:val="en-ID" w:eastAsia="en-ID"/>
              </w:rPr>
            </w:pPr>
            <w:r w:rsidRPr="00A06764">
              <w:rPr>
                <w:color w:val="000000" w:themeColor="text1"/>
                <w:sz w:val="18"/>
                <w:lang w:val="en-ID" w:eastAsia="en-ID"/>
              </w:rPr>
              <w:t xml:space="preserve">1.000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7854B5" w14:textId="77777777" w:rsidR="00A06764" w:rsidRPr="00A06764" w:rsidRDefault="00A06764" w:rsidP="00654974">
            <w:pPr>
              <w:jc w:val="right"/>
              <w:rPr>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4566625" w14:textId="77777777" w:rsidR="00A06764" w:rsidRPr="00A06764" w:rsidRDefault="00A06764" w:rsidP="00654974">
            <w:pPr>
              <w:jc w:val="right"/>
              <w:rPr>
                <w:color w:val="000000" w:themeColor="text1"/>
                <w:sz w:val="18"/>
                <w:szCs w:val="20"/>
                <w:lang w:val="en-ID" w:eastAsia="en-ID"/>
              </w:rPr>
            </w:pP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994A5E" w14:textId="77777777" w:rsidR="00A06764" w:rsidRPr="00A06764" w:rsidRDefault="00A06764" w:rsidP="00654974">
            <w:pPr>
              <w:jc w:val="right"/>
              <w:rPr>
                <w:color w:val="000000" w:themeColor="text1"/>
                <w:sz w:val="18"/>
                <w:szCs w:val="20"/>
                <w:lang w:val="en-ID" w:eastAsia="en-ID"/>
              </w:rPr>
            </w:pPr>
          </w:p>
        </w:tc>
      </w:tr>
      <w:tr w:rsidR="00A06764" w:rsidRPr="00A06764" w14:paraId="49ED3768"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9F6601A" w14:textId="77777777" w:rsidR="00A06764" w:rsidRPr="00A06764" w:rsidRDefault="00A06764" w:rsidP="00654974">
            <w:pPr>
              <w:rPr>
                <w:b/>
                <w:bCs/>
                <w:color w:val="000000" w:themeColor="text1"/>
                <w:sz w:val="18"/>
                <w:lang w:val="en-ID" w:eastAsia="en-ID"/>
              </w:rPr>
            </w:pPr>
            <w:r w:rsidRPr="00A06764">
              <w:rPr>
                <w:b/>
                <w:bCs/>
                <w:color w:val="000000" w:themeColor="text1"/>
                <w:sz w:val="18"/>
                <w:lang w:val="en-ID" w:eastAsia="en-ID"/>
              </w:rPr>
              <w:t xml:space="preserve">Spesialis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BD1AD4C" w14:textId="77777777" w:rsidR="00A06764" w:rsidRPr="00A06764" w:rsidRDefault="00A06764" w:rsidP="00654974">
            <w:pPr>
              <w:rPr>
                <w:b/>
                <w:bCs/>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5F21879"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3A1A7F5"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BB53F36"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346F951" w14:textId="77777777" w:rsidR="00A06764" w:rsidRPr="00A06764" w:rsidRDefault="00A06764" w:rsidP="00654974">
            <w:pPr>
              <w:jc w:val="right"/>
              <w:rPr>
                <w:color w:val="000000" w:themeColor="text1"/>
                <w:sz w:val="18"/>
                <w:lang w:val="en-ID" w:eastAsia="en-ID"/>
              </w:rPr>
            </w:pPr>
            <w:r w:rsidRPr="00A06764">
              <w:rPr>
                <w:color w:val="000000" w:themeColor="text1"/>
                <w:sz w:val="18"/>
                <w:lang w:val="en-ID" w:eastAsia="en-ID"/>
              </w:rPr>
              <w:t xml:space="preserve">1.000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04D79EA0" w14:textId="77777777" w:rsidR="00A06764" w:rsidRPr="00A06764" w:rsidRDefault="00A06764" w:rsidP="00654974">
            <w:pPr>
              <w:jc w:val="right"/>
              <w:rPr>
                <w:color w:val="000000" w:themeColor="text1"/>
                <w:sz w:val="18"/>
                <w:lang w:val="en-ID" w:eastAsia="en-ID"/>
              </w:rPr>
            </w:pP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EED1FE3" w14:textId="77777777" w:rsidR="00A06764" w:rsidRPr="00A06764" w:rsidRDefault="00A06764" w:rsidP="00654974">
            <w:pPr>
              <w:jc w:val="right"/>
              <w:rPr>
                <w:color w:val="000000" w:themeColor="text1"/>
                <w:sz w:val="18"/>
                <w:szCs w:val="20"/>
                <w:lang w:val="en-ID" w:eastAsia="en-ID"/>
              </w:rPr>
            </w:pPr>
          </w:p>
        </w:tc>
      </w:tr>
      <w:tr w:rsidR="00A06764" w:rsidRPr="00A06764" w14:paraId="391236BF" w14:textId="77777777" w:rsidTr="00A06764">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C7378DC" w14:textId="77777777" w:rsidR="00A06764" w:rsidRPr="00A06764" w:rsidRDefault="00A06764" w:rsidP="00654974">
            <w:pPr>
              <w:rPr>
                <w:b/>
                <w:bCs/>
                <w:color w:val="000000" w:themeColor="text1"/>
                <w:sz w:val="18"/>
                <w:lang w:val="en-ID" w:eastAsia="en-ID"/>
              </w:rPr>
            </w:pPr>
            <w:r w:rsidRPr="00A06764">
              <w:rPr>
                <w:b/>
                <w:bCs/>
                <w:color w:val="000000" w:themeColor="text1"/>
                <w:sz w:val="18"/>
                <w:lang w:val="en-ID" w:eastAsia="en-ID"/>
              </w:rPr>
              <w:t xml:space="preserve">Ukuran Perusahaan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64F04EDC" w14:textId="77777777" w:rsidR="00A06764" w:rsidRPr="00A06764" w:rsidRDefault="00A06764" w:rsidP="00654974">
            <w:pPr>
              <w:rPr>
                <w:b/>
                <w:bCs/>
                <w:color w:val="000000" w:themeColor="text1"/>
                <w:sz w:val="18"/>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720E3DF0"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76B0F3C"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1342BC4"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597FD62B" w14:textId="77777777" w:rsidR="00A06764" w:rsidRPr="00A06764" w:rsidRDefault="00A06764" w:rsidP="00654974">
            <w:pPr>
              <w:jc w:val="right"/>
              <w:rPr>
                <w:color w:val="000000" w:themeColor="text1"/>
                <w:sz w:val="18"/>
                <w:szCs w:val="20"/>
                <w:lang w:val="en-ID" w:eastAsia="en-ID"/>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184812E7" w14:textId="77777777" w:rsidR="00A06764" w:rsidRPr="00A06764" w:rsidRDefault="00A06764" w:rsidP="00654974">
            <w:pPr>
              <w:jc w:val="right"/>
              <w:rPr>
                <w:color w:val="000000" w:themeColor="text1"/>
                <w:sz w:val="18"/>
                <w:szCs w:val="20"/>
                <w:lang w:val="en-ID" w:eastAsia="en-ID"/>
              </w:rPr>
            </w:pPr>
          </w:p>
        </w:tc>
        <w:tc>
          <w:tcPr>
            <w:tcW w:w="774" w:type="pct"/>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14:paraId="2009F53F" w14:textId="77777777" w:rsidR="00A06764" w:rsidRPr="00A06764" w:rsidRDefault="00A06764" w:rsidP="00654974">
            <w:pPr>
              <w:jc w:val="right"/>
              <w:rPr>
                <w:color w:val="000000" w:themeColor="text1"/>
                <w:sz w:val="18"/>
                <w:lang w:val="en-ID" w:eastAsia="en-ID"/>
              </w:rPr>
            </w:pPr>
            <w:r w:rsidRPr="00A06764">
              <w:rPr>
                <w:color w:val="000000" w:themeColor="text1"/>
                <w:sz w:val="18"/>
                <w:lang w:val="en-ID" w:eastAsia="en-ID"/>
              </w:rPr>
              <w:t xml:space="preserve">1.000 </w:t>
            </w:r>
          </w:p>
        </w:tc>
      </w:tr>
    </w:tbl>
    <w:p w14:paraId="7404FB95" w14:textId="4CBD4BD0" w:rsidR="004F36EC" w:rsidRDefault="004F36EC" w:rsidP="004F36EC">
      <w:pPr>
        <w:tabs>
          <w:tab w:val="left" w:pos="2127"/>
        </w:tabs>
        <w:spacing w:before="120"/>
        <w:jc w:val="both"/>
      </w:pPr>
      <w:r>
        <w:t xml:space="preserve">Sumber: </w:t>
      </w:r>
      <w:r w:rsidRPr="009E52C2">
        <w:rPr>
          <w:noProof/>
        </w:rPr>
        <w:t>Hasil Olah Data Penelitian (202</w:t>
      </w:r>
      <w:r>
        <w:rPr>
          <w:noProof/>
        </w:rPr>
        <w:t>6</w:t>
      </w:r>
      <w:r w:rsidRPr="009E52C2">
        <w:rPr>
          <w:noProof/>
        </w:rPr>
        <w:t>)</w:t>
      </w:r>
    </w:p>
    <w:p w14:paraId="559880EE" w14:textId="39E07C15" w:rsidR="00A06764" w:rsidRDefault="00A06764" w:rsidP="00957EFE">
      <w:pPr>
        <w:tabs>
          <w:tab w:val="left" w:pos="2127"/>
        </w:tabs>
        <w:spacing w:before="120"/>
        <w:ind w:firstLine="709"/>
        <w:jc w:val="both"/>
      </w:pPr>
      <w:r w:rsidRPr="00A06764">
        <w:t xml:space="preserve">Pengujian </w:t>
      </w:r>
      <w:r w:rsidRPr="00E519A5">
        <w:rPr>
          <w:i/>
          <w:iCs/>
        </w:rPr>
        <w:t>outer</w:t>
      </w:r>
      <w:r w:rsidRPr="00A06764">
        <w:t xml:space="preserve"> </w:t>
      </w:r>
      <w:r w:rsidRPr="00E519A5">
        <w:rPr>
          <w:i/>
          <w:iCs/>
        </w:rPr>
        <w:t>weight</w:t>
      </w:r>
      <w:r w:rsidRPr="00A06764">
        <w:t xml:space="preserve"> dilakukan untuk menilai kontribusi masing-masing indikator dalam membentuk konstruk laten. Pengujian ini dilakukan menggunakan prosedur </w:t>
      </w:r>
      <w:r w:rsidRPr="00E519A5">
        <w:rPr>
          <w:i/>
          <w:iCs/>
        </w:rPr>
        <w:t>bootstrapping</w:t>
      </w:r>
      <w:r w:rsidRPr="00A06764">
        <w:t xml:space="preserve"> dengan tingkat signifikansi 5%.</w:t>
      </w:r>
      <w:r w:rsidR="00957EFE">
        <w:t xml:space="preserve"> </w:t>
      </w:r>
      <w:r w:rsidR="00957EFE" w:rsidRPr="00957EFE">
        <w:t>Hasil pengujian menunjukkan bahwa kedua indikator memiliki nilai t-</w:t>
      </w:r>
      <w:r w:rsidR="00957EFE" w:rsidRPr="00E519A5">
        <w:rPr>
          <w:i/>
          <w:iCs/>
        </w:rPr>
        <w:t>statistic</w:t>
      </w:r>
      <w:r w:rsidR="00957EFE" w:rsidRPr="00957EFE">
        <w:t xml:space="preserve"> lebih besar dari 1,96 serta nilai p-</w:t>
      </w:r>
      <w:r w:rsidR="00957EFE" w:rsidRPr="00E519A5">
        <w:rPr>
          <w:i/>
          <w:iCs/>
        </w:rPr>
        <w:t>value</w:t>
      </w:r>
      <w:r w:rsidR="00957EFE" w:rsidRPr="00957EFE">
        <w:t xml:space="preserve"> lebih kecil dari </w:t>
      </w:r>
      <w:r w:rsidR="00957EFE" w:rsidRPr="00957EFE">
        <w:lastRenderedPageBreak/>
        <w:t xml:space="preserve">0,05. Dengan demikian, indikator </w:t>
      </w:r>
      <w:r w:rsidR="00957EFE" w:rsidRPr="00E519A5">
        <w:rPr>
          <w:i/>
          <w:iCs/>
        </w:rPr>
        <w:t>Current</w:t>
      </w:r>
      <w:r w:rsidR="00957EFE" w:rsidRPr="00957EFE">
        <w:t xml:space="preserve"> ETR dan GAAP ETR memberikan kontribusi yang signifikan dalam membentuk konstruk </w:t>
      </w:r>
      <w:r w:rsidR="00957EFE" w:rsidRPr="00E519A5">
        <w:rPr>
          <w:i/>
          <w:iCs/>
        </w:rPr>
        <w:t>tax</w:t>
      </w:r>
      <w:r w:rsidR="00957EFE" w:rsidRPr="00957EFE">
        <w:t xml:space="preserve"> </w:t>
      </w:r>
      <w:r w:rsidR="00957EFE" w:rsidRPr="00E519A5">
        <w:rPr>
          <w:i/>
          <w:iCs/>
        </w:rPr>
        <w:t>evasion</w:t>
      </w:r>
      <w:r w:rsidR="00957EFE" w:rsidRPr="00957EFE">
        <w:t>.</w:t>
      </w:r>
    </w:p>
    <w:p w14:paraId="2747B8E1" w14:textId="058C4B89" w:rsidR="00A06764" w:rsidRPr="00A06764" w:rsidRDefault="00A06764" w:rsidP="00A06764">
      <w:pPr>
        <w:tabs>
          <w:tab w:val="left" w:pos="3935"/>
        </w:tabs>
        <w:spacing w:after="120"/>
      </w:pPr>
      <w:r>
        <w:tab/>
      </w:r>
    </w:p>
    <w:p w14:paraId="6C7EEC72" w14:textId="254F4377" w:rsidR="00A06764" w:rsidRPr="00A06764" w:rsidRDefault="00A06764" w:rsidP="00A06764">
      <w:pPr>
        <w:pStyle w:val="Caption"/>
        <w:keepNext/>
        <w:jc w:val="center"/>
        <w:rPr>
          <w:sz w:val="24"/>
          <w:szCs w:val="24"/>
        </w:rPr>
      </w:pPr>
      <w:r w:rsidRPr="00A06764">
        <w:rPr>
          <w:sz w:val="24"/>
          <w:szCs w:val="24"/>
        </w:rPr>
        <w:t xml:space="preserve">Tabel </w:t>
      </w:r>
      <w:r w:rsidRPr="00A06764">
        <w:rPr>
          <w:sz w:val="24"/>
          <w:szCs w:val="24"/>
        </w:rPr>
        <w:fldChar w:fldCharType="begin"/>
      </w:r>
      <w:r w:rsidRPr="00A06764">
        <w:rPr>
          <w:sz w:val="24"/>
          <w:szCs w:val="24"/>
        </w:rPr>
        <w:instrText xml:space="preserve"> SEQ Tabel \* ARABIC </w:instrText>
      </w:r>
      <w:r w:rsidRPr="00A06764">
        <w:rPr>
          <w:sz w:val="24"/>
          <w:szCs w:val="24"/>
        </w:rPr>
        <w:fldChar w:fldCharType="separate"/>
      </w:r>
      <w:r w:rsidR="005543C9">
        <w:rPr>
          <w:noProof/>
          <w:sz w:val="24"/>
          <w:szCs w:val="24"/>
        </w:rPr>
        <w:t>6</w:t>
      </w:r>
      <w:r w:rsidRPr="00A06764">
        <w:rPr>
          <w:sz w:val="24"/>
          <w:szCs w:val="24"/>
        </w:rPr>
        <w:fldChar w:fldCharType="end"/>
      </w:r>
      <w:r w:rsidRPr="00A06764">
        <w:rPr>
          <w:sz w:val="24"/>
          <w:szCs w:val="24"/>
        </w:rPr>
        <w:t xml:space="preserve">. Uji </w:t>
      </w:r>
      <w:r w:rsidRPr="00A06764">
        <w:rPr>
          <w:i/>
          <w:iCs/>
          <w:sz w:val="24"/>
          <w:szCs w:val="24"/>
        </w:rPr>
        <w:t>Outer Weight</w:t>
      </w:r>
    </w:p>
    <w:tbl>
      <w:tblPr>
        <w:tblW w:w="7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1354"/>
        <w:gridCol w:w="1144"/>
        <w:gridCol w:w="960"/>
      </w:tblGrid>
      <w:tr w:rsidR="00A06764" w:rsidRPr="009E52C2" w14:paraId="27C4C210" w14:textId="77777777" w:rsidTr="00A06764">
        <w:trPr>
          <w:trHeight w:val="227"/>
          <w:jc w:val="center"/>
        </w:trPr>
        <w:tc>
          <w:tcPr>
            <w:tcW w:w="4311" w:type="dxa"/>
            <w:noWrap/>
            <w:hideMark/>
          </w:tcPr>
          <w:p w14:paraId="2553319C" w14:textId="77777777" w:rsidR="00A06764" w:rsidRPr="00A06764" w:rsidRDefault="00A06764" w:rsidP="00957EFE">
            <w:pPr>
              <w:jc w:val="center"/>
              <w:rPr>
                <w:b/>
                <w:bCs/>
                <w:color w:val="000000"/>
                <w:lang w:val="en-ID" w:eastAsia="en-ID"/>
              </w:rPr>
            </w:pPr>
            <w:r w:rsidRPr="00A06764">
              <w:rPr>
                <w:b/>
                <w:bCs/>
                <w:color w:val="000000"/>
                <w:lang w:val="en-ID" w:eastAsia="en-ID"/>
              </w:rPr>
              <w:t>Hipotesis</w:t>
            </w:r>
          </w:p>
        </w:tc>
        <w:tc>
          <w:tcPr>
            <w:tcW w:w="1354" w:type="dxa"/>
            <w:noWrap/>
            <w:hideMark/>
          </w:tcPr>
          <w:p w14:paraId="03A304E4" w14:textId="77777777" w:rsidR="00A06764" w:rsidRPr="00A06764" w:rsidRDefault="00A06764" w:rsidP="00957EFE">
            <w:pPr>
              <w:jc w:val="center"/>
              <w:rPr>
                <w:b/>
                <w:bCs/>
                <w:i/>
                <w:iCs/>
                <w:color w:val="000000"/>
                <w:lang w:val="en-ID" w:eastAsia="en-ID"/>
              </w:rPr>
            </w:pPr>
            <w:r w:rsidRPr="00A06764">
              <w:rPr>
                <w:b/>
                <w:bCs/>
                <w:i/>
                <w:iCs/>
                <w:color w:val="000000"/>
                <w:lang w:val="en-ID" w:eastAsia="en-ID"/>
              </w:rPr>
              <w:t xml:space="preserve">Original sample </w:t>
            </w:r>
          </w:p>
        </w:tc>
        <w:tc>
          <w:tcPr>
            <w:tcW w:w="1144" w:type="dxa"/>
            <w:noWrap/>
            <w:hideMark/>
          </w:tcPr>
          <w:p w14:paraId="1FFF62CA" w14:textId="77777777" w:rsidR="00A06764" w:rsidRPr="00A06764" w:rsidRDefault="00A06764" w:rsidP="00957EFE">
            <w:pPr>
              <w:jc w:val="center"/>
              <w:rPr>
                <w:b/>
                <w:bCs/>
                <w:color w:val="000000"/>
                <w:lang w:val="en-ID" w:eastAsia="en-ID"/>
              </w:rPr>
            </w:pPr>
            <w:r w:rsidRPr="00A06764">
              <w:rPr>
                <w:b/>
                <w:bCs/>
                <w:color w:val="000000"/>
                <w:lang w:val="en-ID" w:eastAsia="en-ID"/>
              </w:rPr>
              <w:t xml:space="preserve">T </w:t>
            </w:r>
            <w:r w:rsidRPr="00A06764">
              <w:rPr>
                <w:b/>
                <w:bCs/>
                <w:i/>
                <w:iCs/>
                <w:color w:val="000000"/>
                <w:lang w:val="en-ID" w:eastAsia="en-ID"/>
              </w:rPr>
              <w:t xml:space="preserve">statistics </w:t>
            </w:r>
          </w:p>
        </w:tc>
        <w:tc>
          <w:tcPr>
            <w:tcW w:w="960" w:type="dxa"/>
            <w:noWrap/>
            <w:hideMark/>
          </w:tcPr>
          <w:p w14:paraId="237DAF8F" w14:textId="77777777" w:rsidR="00A06764" w:rsidRPr="00A06764" w:rsidRDefault="00A06764" w:rsidP="00957EFE">
            <w:pPr>
              <w:jc w:val="center"/>
              <w:rPr>
                <w:b/>
                <w:bCs/>
                <w:color w:val="000000"/>
                <w:lang w:val="en-ID" w:eastAsia="en-ID"/>
              </w:rPr>
            </w:pPr>
            <w:r w:rsidRPr="00A06764">
              <w:rPr>
                <w:b/>
                <w:bCs/>
                <w:color w:val="000000"/>
                <w:lang w:val="en-ID" w:eastAsia="en-ID"/>
              </w:rPr>
              <w:t xml:space="preserve">P </w:t>
            </w:r>
            <w:r w:rsidRPr="00A06764">
              <w:rPr>
                <w:b/>
                <w:bCs/>
                <w:i/>
                <w:iCs/>
                <w:color w:val="000000"/>
                <w:lang w:val="en-ID" w:eastAsia="en-ID"/>
              </w:rPr>
              <w:t>values</w:t>
            </w:r>
          </w:p>
        </w:tc>
      </w:tr>
      <w:tr w:rsidR="00A06764" w:rsidRPr="009E52C2" w14:paraId="211649CB" w14:textId="77777777" w:rsidTr="00A06764">
        <w:trPr>
          <w:trHeight w:val="227"/>
          <w:jc w:val="center"/>
        </w:trPr>
        <w:tc>
          <w:tcPr>
            <w:tcW w:w="4311" w:type="dxa"/>
            <w:noWrap/>
            <w:vAlign w:val="bottom"/>
            <w:hideMark/>
          </w:tcPr>
          <w:p w14:paraId="5490B21F" w14:textId="77777777" w:rsidR="00A06764" w:rsidRPr="00A06764" w:rsidRDefault="00A06764" w:rsidP="00957EFE">
            <w:pPr>
              <w:jc w:val="both"/>
              <w:rPr>
                <w:color w:val="000000"/>
                <w:lang w:val="en-ID" w:eastAsia="en-ID"/>
              </w:rPr>
            </w:pPr>
            <w:r w:rsidRPr="00A06764">
              <w:rPr>
                <w:color w:val="000000"/>
                <w:lang w:val="en-ID" w:eastAsia="en-ID"/>
              </w:rPr>
              <w:t xml:space="preserve">Current ETR &lt;- </w:t>
            </w:r>
            <w:r w:rsidRPr="00A06764">
              <w:rPr>
                <w:i/>
                <w:color w:val="000000"/>
                <w:lang w:val="en-ID" w:eastAsia="en-ID"/>
              </w:rPr>
              <w:t>Tax evasion</w:t>
            </w:r>
          </w:p>
        </w:tc>
        <w:tc>
          <w:tcPr>
            <w:tcW w:w="1354" w:type="dxa"/>
            <w:noWrap/>
            <w:vAlign w:val="bottom"/>
            <w:hideMark/>
          </w:tcPr>
          <w:p w14:paraId="4E0E4101" w14:textId="77777777" w:rsidR="00A06764" w:rsidRPr="00A06764" w:rsidRDefault="00A06764" w:rsidP="00957EFE">
            <w:pPr>
              <w:jc w:val="both"/>
              <w:rPr>
                <w:color w:val="000000"/>
                <w:lang w:val="en-ID" w:eastAsia="en-ID"/>
              </w:rPr>
            </w:pPr>
            <w:r w:rsidRPr="00A06764">
              <w:rPr>
                <w:color w:val="000000"/>
                <w:lang w:val="en-ID" w:eastAsia="en-ID"/>
              </w:rPr>
              <w:t>0,700</w:t>
            </w:r>
          </w:p>
        </w:tc>
        <w:tc>
          <w:tcPr>
            <w:tcW w:w="1144" w:type="dxa"/>
            <w:noWrap/>
            <w:vAlign w:val="bottom"/>
            <w:hideMark/>
          </w:tcPr>
          <w:p w14:paraId="13E092DD" w14:textId="77777777" w:rsidR="00A06764" w:rsidRPr="00A06764" w:rsidRDefault="00A06764" w:rsidP="00957EFE">
            <w:pPr>
              <w:jc w:val="both"/>
              <w:rPr>
                <w:color w:val="000000"/>
                <w:lang w:val="en-ID" w:eastAsia="en-ID"/>
              </w:rPr>
            </w:pPr>
            <w:r w:rsidRPr="00A06764">
              <w:rPr>
                <w:color w:val="000000"/>
                <w:lang w:val="en-ID" w:eastAsia="en-ID"/>
              </w:rPr>
              <w:t>5,728</w:t>
            </w:r>
          </w:p>
        </w:tc>
        <w:tc>
          <w:tcPr>
            <w:tcW w:w="960" w:type="dxa"/>
            <w:noWrap/>
            <w:vAlign w:val="bottom"/>
            <w:hideMark/>
          </w:tcPr>
          <w:p w14:paraId="296EF769" w14:textId="77777777" w:rsidR="00A06764" w:rsidRPr="00A06764" w:rsidRDefault="00A06764" w:rsidP="00957EFE">
            <w:pPr>
              <w:jc w:val="both"/>
              <w:rPr>
                <w:color w:val="000000"/>
                <w:lang w:val="en-ID" w:eastAsia="en-ID"/>
              </w:rPr>
            </w:pPr>
            <w:r w:rsidRPr="00A06764">
              <w:rPr>
                <w:color w:val="000000"/>
                <w:lang w:val="en-ID" w:eastAsia="en-ID"/>
              </w:rPr>
              <w:t>0,000</w:t>
            </w:r>
          </w:p>
        </w:tc>
      </w:tr>
      <w:tr w:rsidR="00A06764" w:rsidRPr="009E52C2" w14:paraId="31B3512D" w14:textId="77777777" w:rsidTr="00A06764">
        <w:trPr>
          <w:trHeight w:val="227"/>
          <w:jc w:val="center"/>
        </w:trPr>
        <w:tc>
          <w:tcPr>
            <w:tcW w:w="4311" w:type="dxa"/>
            <w:noWrap/>
            <w:vAlign w:val="bottom"/>
            <w:hideMark/>
          </w:tcPr>
          <w:p w14:paraId="6F19B1A2" w14:textId="77777777" w:rsidR="00A06764" w:rsidRPr="00A06764" w:rsidRDefault="00A06764" w:rsidP="00957EFE">
            <w:pPr>
              <w:jc w:val="both"/>
              <w:rPr>
                <w:color w:val="000000"/>
                <w:lang w:val="en-ID" w:eastAsia="en-ID"/>
              </w:rPr>
            </w:pPr>
            <w:r w:rsidRPr="00A06764">
              <w:rPr>
                <w:color w:val="000000"/>
                <w:lang w:val="en-ID" w:eastAsia="en-ID"/>
              </w:rPr>
              <w:t xml:space="preserve">GAAP ETR &lt;- </w:t>
            </w:r>
            <w:r w:rsidRPr="00A06764">
              <w:rPr>
                <w:i/>
                <w:color w:val="000000"/>
                <w:lang w:val="en-ID" w:eastAsia="en-ID"/>
              </w:rPr>
              <w:t>Tax evasion</w:t>
            </w:r>
          </w:p>
        </w:tc>
        <w:tc>
          <w:tcPr>
            <w:tcW w:w="1354" w:type="dxa"/>
            <w:noWrap/>
            <w:vAlign w:val="bottom"/>
            <w:hideMark/>
          </w:tcPr>
          <w:p w14:paraId="47C0793B" w14:textId="77777777" w:rsidR="00A06764" w:rsidRPr="00A06764" w:rsidRDefault="00A06764" w:rsidP="00957EFE">
            <w:pPr>
              <w:jc w:val="both"/>
              <w:rPr>
                <w:color w:val="000000"/>
                <w:lang w:val="en-ID" w:eastAsia="en-ID"/>
              </w:rPr>
            </w:pPr>
            <w:r w:rsidRPr="00A06764">
              <w:rPr>
                <w:color w:val="000000"/>
                <w:lang w:val="en-ID" w:eastAsia="en-ID"/>
              </w:rPr>
              <w:t>0,451</w:t>
            </w:r>
          </w:p>
        </w:tc>
        <w:tc>
          <w:tcPr>
            <w:tcW w:w="1144" w:type="dxa"/>
            <w:noWrap/>
            <w:vAlign w:val="bottom"/>
            <w:hideMark/>
          </w:tcPr>
          <w:p w14:paraId="3DF79D22" w14:textId="77777777" w:rsidR="00A06764" w:rsidRPr="00A06764" w:rsidRDefault="00A06764" w:rsidP="00957EFE">
            <w:pPr>
              <w:jc w:val="both"/>
              <w:rPr>
                <w:color w:val="000000"/>
                <w:lang w:val="en-ID" w:eastAsia="en-ID"/>
              </w:rPr>
            </w:pPr>
            <w:r w:rsidRPr="00A06764">
              <w:rPr>
                <w:color w:val="000000"/>
                <w:lang w:val="en-ID" w:eastAsia="en-ID"/>
              </w:rPr>
              <w:t>3,284</w:t>
            </w:r>
          </w:p>
        </w:tc>
        <w:tc>
          <w:tcPr>
            <w:tcW w:w="960" w:type="dxa"/>
            <w:noWrap/>
            <w:vAlign w:val="bottom"/>
            <w:hideMark/>
          </w:tcPr>
          <w:p w14:paraId="5F53ECE1" w14:textId="77777777" w:rsidR="00A06764" w:rsidRPr="00A06764" w:rsidRDefault="00A06764" w:rsidP="00957EFE">
            <w:pPr>
              <w:jc w:val="both"/>
              <w:rPr>
                <w:color w:val="000000"/>
                <w:lang w:val="en-ID" w:eastAsia="en-ID"/>
              </w:rPr>
            </w:pPr>
            <w:r w:rsidRPr="00A06764">
              <w:rPr>
                <w:color w:val="000000"/>
                <w:lang w:val="en-ID" w:eastAsia="en-ID"/>
              </w:rPr>
              <w:t>0,001</w:t>
            </w:r>
          </w:p>
        </w:tc>
      </w:tr>
    </w:tbl>
    <w:p w14:paraId="4540139A" w14:textId="407A4A83" w:rsidR="004F36EC" w:rsidRDefault="004F36EC" w:rsidP="004F36EC">
      <w:pPr>
        <w:tabs>
          <w:tab w:val="left" w:pos="2127"/>
        </w:tabs>
        <w:spacing w:before="120" w:after="120"/>
        <w:jc w:val="both"/>
      </w:pPr>
      <w:r>
        <w:t xml:space="preserve">Sumber: </w:t>
      </w:r>
      <w:r w:rsidRPr="009E52C2">
        <w:rPr>
          <w:noProof/>
        </w:rPr>
        <w:t>Hasil Olah Data Penelitian (202</w:t>
      </w:r>
      <w:r>
        <w:rPr>
          <w:noProof/>
        </w:rPr>
        <w:t>6</w:t>
      </w:r>
      <w:r w:rsidRPr="009E52C2">
        <w:rPr>
          <w:noProof/>
        </w:rPr>
        <w:t>)</w:t>
      </w:r>
    </w:p>
    <w:p w14:paraId="17053BE6" w14:textId="7A73BDAA" w:rsidR="00A06764" w:rsidRDefault="00957EFE" w:rsidP="00957EFE">
      <w:pPr>
        <w:tabs>
          <w:tab w:val="left" w:pos="2127"/>
        </w:tabs>
        <w:spacing w:before="120" w:after="120"/>
        <w:ind w:firstLine="709"/>
        <w:jc w:val="both"/>
      </w:pPr>
      <w:r w:rsidRPr="00957EFE">
        <w:t xml:space="preserve">Uji multikolinearitas dilakukan untuk memastikan bahwa tidak terdapat korelasi yang berlebihan antar indikator dalam model penelitian. Pengujian ini menggunakan nilai </w:t>
      </w:r>
      <w:r w:rsidRPr="004F36EC">
        <w:rPr>
          <w:i/>
          <w:iCs/>
        </w:rPr>
        <w:t>Variance Inflation Factor</w:t>
      </w:r>
      <w:r w:rsidRPr="00957EFE">
        <w:t xml:space="preserve"> (VIF), di mana nilai VIF di bawah batas toleransi</w:t>
      </w:r>
      <w:r>
        <w:t>, yaitu kurang dari 5</w:t>
      </w:r>
      <w:r w:rsidRPr="00957EFE">
        <w:t xml:space="preserve"> menunjukkan bahwa model bebas dari masalah multikolinearitas.</w:t>
      </w:r>
      <w:r>
        <w:t xml:space="preserve"> </w:t>
      </w:r>
      <w:r w:rsidRPr="00957EFE">
        <w:t>Seluruh variabel memiliki nilai VIF di bawah batas toleransi sehingga dapat disimpulkan bahwa model penelitian tidak mengalami masalah multikolinearitas.</w:t>
      </w:r>
    </w:p>
    <w:p w14:paraId="05296367" w14:textId="01AD984C" w:rsidR="00957EFE" w:rsidRPr="00957EFE" w:rsidRDefault="00957EFE" w:rsidP="00957EFE">
      <w:pPr>
        <w:pStyle w:val="Caption"/>
        <w:keepNext/>
        <w:jc w:val="center"/>
        <w:rPr>
          <w:sz w:val="24"/>
          <w:szCs w:val="24"/>
        </w:rPr>
      </w:pPr>
      <w:r w:rsidRPr="00957EFE">
        <w:rPr>
          <w:sz w:val="24"/>
          <w:szCs w:val="24"/>
        </w:rPr>
        <w:t xml:space="preserve">Tabel </w:t>
      </w:r>
      <w:r w:rsidRPr="00957EFE">
        <w:rPr>
          <w:sz w:val="24"/>
          <w:szCs w:val="24"/>
        </w:rPr>
        <w:fldChar w:fldCharType="begin"/>
      </w:r>
      <w:r w:rsidRPr="00957EFE">
        <w:rPr>
          <w:sz w:val="24"/>
          <w:szCs w:val="24"/>
        </w:rPr>
        <w:instrText xml:space="preserve"> SEQ Tabel \* ARABIC </w:instrText>
      </w:r>
      <w:r w:rsidRPr="00957EFE">
        <w:rPr>
          <w:sz w:val="24"/>
          <w:szCs w:val="24"/>
        </w:rPr>
        <w:fldChar w:fldCharType="separate"/>
      </w:r>
      <w:r w:rsidR="005543C9">
        <w:rPr>
          <w:noProof/>
          <w:sz w:val="24"/>
          <w:szCs w:val="24"/>
        </w:rPr>
        <w:t>7</w:t>
      </w:r>
      <w:r w:rsidRPr="00957EFE">
        <w:rPr>
          <w:sz w:val="24"/>
          <w:szCs w:val="24"/>
        </w:rPr>
        <w:fldChar w:fldCharType="end"/>
      </w:r>
      <w:r w:rsidRPr="00957EFE">
        <w:rPr>
          <w:sz w:val="24"/>
          <w:szCs w:val="24"/>
        </w:rPr>
        <w:t>. Uji Multikolinearitas</w:t>
      </w:r>
    </w:p>
    <w:tbl>
      <w:tblPr>
        <w:tblW w:w="7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3038"/>
      </w:tblGrid>
      <w:tr w:rsidR="00957EFE" w:rsidRPr="009E52C2" w14:paraId="02C294FB" w14:textId="77777777" w:rsidTr="00654974">
        <w:trPr>
          <w:trHeight w:val="170"/>
          <w:jc w:val="center"/>
        </w:trPr>
        <w:tc>
          <w:tcPr>
            <w:tcW w:w="4010" w:type="dxa"/>
            <w:noWrap/>
            <w:vAlign w:val="bottom"/>
            <w:hideMark/>
          </w:tcPr>
          <w:p w14:paraId="0B0F28F4" w14:textId="77777777" w:rsidR="00957EFE" w:rsidRPr="00957EFE" w:rsidRDefault="00957EFE" w:rsidP="00957EFE">
            <w:pPr>
              <w:jc w:val="center"/>
              <w:rPr>
                <w:b/>
                <w:bCs/>
                <w:color w:val="000000"/>
                <w:lang w:val="en-ID" w:eastAsia="en-ID"/>
              </w:rPr>
            </w:pPr>
            <w:r w:rsidRPr="00957EFE">
              <w:rPr>
                <w:b/>
                <w:bCs/>
                <w:color w:val="000000"/>
                <w:lang w:val="en-ID" w:eastAsia="en-ID"/>
              </w:rPr>
              <w:t>Variabel</w:t>
            </w:r>
          </w:p>
        </w:tc>
        <w:tc>
          <w:tcPr>
            <w:tcW w:w="3038" w:type="dxa"/>
            <w:noWrap/>
            <w:vAlign w:val="bottom"/>
            <w:hideMark/>
          </w:tcPr>
          <w:p w14:paraId="5FA2C73F" w14:textId="77777777" w:rsidR="00957EFE" w:rsidRPr="00957EFE" w:rsidRDefault="00957EFE" w:rsidP="00957EFE">
            <w:pPr>
              <w:jc w:val="center"/>
              <w:rPr>
                <w:b/>
                <w:bCs/>
                <w:color w:val="000000"/>
                <w:lang w:val="en-ID" w:eastAsia="en-ID"/>
              </w:rPr>
            </w:pPr>
            <w:r w:rsidRPr="00957EFE">
              <w:rPr>
                <w:b/>
                <w:bCs/>
                <w:color w:val="000000"/>
                <w:lang w:val="en-ID" w:eastAsia="en-ID"/>
              </w:rPr>
              <w:t>VIF</w:t>
            </w:r>
          </w:p>
        </w:tc>
      </w:tr>
      <w:tr w:rsidR="00957EFE" w:rsidRPr="009E52C2" w14:paraId="68466D35" w14:textId="77777777" w:rsidTr="00654974">
        <w:trPr>
          <w:trHeight w:val="170"/>
          <w:jc w:val="center"/>
        </w:trPr>
        <w:tc>
          <w:tcPr>
            <w:tcW w:w="4010" w:type="dxa"/>
            <w:noWrap/>
            <w:vAlign w:val="bottom"/>
            <w:hideMark/>
          </w:tcPr>
          <w:p w14:paraId="7DDA1388" w14:textId="77777777" w:rsidR="00957EFE" w:rsidRPr="00957EFE" w:rsidRDefault="00957EFE" w:rsidP="00957EFE">
            <w:pPr>
              <w:jc w:val="both"/>
              <w:rPr>
                <w:color w:val="000000"/>
                <w:lang w:val="en-ID" w:eastAsia="en-ID"/>
              </w:rPr>
            </w:pPr>
            <w:r w:rsidRPr="00957EFE">
              <w:rPr>
                <w:i/>
                <w:color w:val="000000"/>
                <w:lang w:val="en-ID" w:eastAsia="en-ID"/>
              </w:rPr>
              <w:t>Audit fee</w:t>
            </w:r>
          </w:p>
        </w:tc>
        <w:tc>
          <w:tcPr>
            <w:tcW w:w="3038" w:type="dxa"/>
            <w:noWrap/>
            <w:vAlign w:val="bottom"/>
            <w:hideMark/>
          </w:tcPr>
          <w:p w14:paraId="322C4B03" w14:textId="77777777" w:rsidR="00957EFE" w:rsidRPr="00957EFE" w:rsidRDefault="00957EFE" w:rsidP="00957EFE">
            <w:pPr>
              <w:jc w:val="center"/>
              <w:rPr>
                <w:color w:val="000000"/>
                <w:lang w:val="en-ID" w:eastAsia="en-ID"/>
              </w:rPr>
            </w:pPr>
            <w:r w:rsidRPr="00957EFE">
              <w:rPr>
                <w:color w:val="000000"/>
                <w:lang w:val="en-ID" w:eastAsia="en-ID"/>
              </w:rPr>
              <w:t>1,000</w:t>
            </w:r>
          </w:p>
        </w:tc>
      </w:tr>
      <w:tr w:rsidR="00957EFE" w:rsidRPr="009E52C2" w14:paraId="31D17431" w14:textId="77777777" w:rsidTr="00654974">
        <w:trPr>
          <w:trHeight w:val="170"/>
          <w:jc w:val="center"/>
        </w:trPr>
        <w:tc>
          <w:tcPr>
            <w:tcW w:w="4010" w:type="dxa"/>
            <w:noWrap/>
            <w:vAlign w:val="bottom"/>
            <w:hideMark/>
          </w:tcPr>
          <w:p w14:paraId="70D87027" w14:textId="77777777" w:rsidR="00957EFE" w:rsidRPr="00957EFE" w:rsidRDefault="00957EFE" w:rsidP="00957EFE">
            <w:pPr>
              <w:jc w:val="both"/>
              <w:rPr>
                <w:color w:val="000000"/>
                <w:lang w:val="en-ID" w:eastAsia="en-ID"/>
              </w:rPr>
            </w:pPr>
            <w:r w:rsidRPr="00957EFE">
              <w:rPr>
                <w:i/>
                <w:color w:val="000000"/>
                <w:lang w:val="en-ID" w:eastAsia="en-ID"/>
              </w:rPr>
              <w:t>Audit tenure</w:t>
            </w:r>
          </w:p>
        </w:tc>
        <w:tc>
          <w:tcPr>
            <w:tcW w:w="3038" w:type="dxa"/>
            <w:noWrap/>
            <w:vAlign w:val="bottom"/>
            <w:hideMark/>
          </w:tcPr>
          <w:p w14:paraId="3A538992" w14:textId="77777777" w:rsidR="00957EFE" w:rsidRPr="00957EFE" w:rsidRDefault="00957EFE" w:rsidP="00957EFE">
            <w:pPr>
              <w:jc w:val="center"/>
              <w:rPr>
                <w:color w:val="000000"/>
                <w:lang w:val="en-ID" w:eastAsia="en-ID"/>
              </w:rPr>
            </w:pPr>
            <w:r w:rsidRPr="00957EFE">
              <w:rPr>
                <w:color w:val="000000"/>
                <w:lang w:val="en-ID" w:eastAsia="en-ID"/>
              </w:rPr>
              <w:t>1,000</w:t>
            </w:r>
          </w:p>
        </w:tc>
      </w:tr>
      <w:tr w:rsidR="00957EFE" w:rsidRPr="009E52C2" w14:paraId="6B1EA35C" w14:textId="77777777" w:rsidTr="00654974">
        <w:trPr>
          <w:trHeight w:val="170"/>
          <w:jc w:val="center"/>
        </w:trPr>
        <w:tc>
          <w:tcPr>
            <w:tcW w:w="4010" w:type="dxa"/>
            <w:noWrap/>
            <w:vAlign w:val="bottom"/>
            <w:hideMark/>
          </w:tcPr>
          <w:p w14:paraId="4B634096" w14:textId="77777777" w:rsidR="00957EFE" w:rsidRPr="00957EFE" w:rsidRDefault="00957EFE" w:rsidP="00957EFE">
            <w:pPr>
              <w:jc w:val="both"/>
              <w:rPr>
                <w:color w:val="000000"/>
                <w:lang w:val="en-ID" w:eastAsia="en-ID"/>
              </w:rPr>
            </w:pPr>
            <w:r w:rsidRPr="00957EFE">
              <w:rPr>
                <w:color w:val="000000"/>
                <w:lang w:val="en-ID" w:eastAsia="en-ID"/>
              </w:rPr>
              <w:t>Current ETR</w:t>
            </w:r>
          </w:p>
        </w:tc>
        <w:tc>
          <w:tcPr>
            <w:tcW w:w="3038" w:type="dxa"/>
            <w:noWrap/>
            <w:vAlign w:val="bottom"/>
            <w:hideMark/>
          </w:tcPr>
          <w:p w14:paraId="39B18A97" w14:textId="77777777" w:rsidR="00957EFE" w:rsidRPr="00957EFE" w:rsidRDefault="00957EFE" w:rsidP="00957EFE">
            <w:pPr>
              <w:jc w:val="center"/>
              <w:rPr>
                <w:color w:val="000000"/>
                <w:lang w:val="en-ID" w:eastAsia="en-ID"/>
              </w:rPr>
            </w:pPr>
            <w:r w:rsidRPr="00957EFE">
              <w:rPr>
                <w:color w:val="000000"/>
                <w:lang w:val="en-ID" w:eastAsia="en-ID"/>
              </w:rPr>
              <w:t>1,310</w:t>
            </w:r>
          </w:p>
        </w:tc>
      </w:tr>
      <w:tr w:rsidR="00957EFE" w:rsidRPr="009E52C2" w14:paraId="7C721CFD" w14:textId="77777777" w:rsidTr="00654974">
        <w:trPr>
          <w:trHeight w:val="170"/>
          <w:jc w:val="center"/>
        </w:trPr>
        <w:tc>
          <w:tcPr>
            <w:tcW w:w="4010" w:type="dxa"/>
            <w:noWrap/>
            <w:vAlign w:val="bottom"/>
            <w:hideMark/>
          </w:tcPr>
          <w:p w14:paraId="116DFED4" w14:textId="77777777" w:rsidR="00957EFE" w:rsidRPr="00957EFE" w:rsidRDefault="00957EFE" w:rsidP="00957EFE">
            <w:pPr>
              <w:jc w:val="both"/>
              <w:rPr>
                <w:color w:val="000000"/>
                <w:lang w:val="en-ID" w:eastAsia="en-ID"/>
              </w:rPr>
            </w:pPr>
            <w:r w:rsidRPr="00957EFE">
              <w:rPr>
                <w:color w:val="000000"/>
                <w:lang w:val="en-ID" w:eastAsia="en-ID"/>
              </w:rPr>
              <w:t>GAAP ETR</w:t>
            </w:r>
          </w:p>
        </w:tc>
        <w:tc>
          <w:tcPr>
            <w:tcW w:w="3038" w:type="dxa"/>
            <w:noWrap/>
            <w:vAlign w:val="bottom"/>
            <w:hideMark/>
          </w:tcPr>
          <w:p w14:paraId="43D5CEFA" w14:textId="77777777" w:rsidR="00957EFE" w:rsidRPr="00957EFE" w:rsidRDefault="00957EFE" w:rsidP="00957EFE">
            <w:pPr>
              <w:jc w:val="center"/>
              <w:rPr>
                <w:color w:val="000000"/>
                <w:lang w:val="en-ID" w:eastAsia="en-ID"/>
              </w:rPr>
            </w:pPr>
            <w:r w:rsidRPr="00957EFE">
              <w:rPr>
                <w:color w:val="000000"/>
                <w:lang w:val="en-ID" w:eastAsia="en-ID"/>
              </w:rPr>
              <w:t>1,310</w:t>
            </w:r>
          </w:p>
        </w:tc>
      </w:tr>
      <w:tr w:rsidR="00957EFE" w:rsidRPr="009E52C2" w14:paraId="12757A9E" w14:textId="77777777" w:rsidTr="00654974">
        <w:trPr>
          <w:trHeight w:val="170"/>
          <w:jc w:val="center"/>
        </w:trPr>
        <w:tc>
          <w:tcPr>
            <w:tcW w:w="4010" w:type="dxa"/>
            <w:noWrap/>
            <w:vAlign w:val="bottom"/>
            <w:hideMark/>
          </w:tcPr>
          <w:p w14:paraId="40CF23C0" w14:textId="77777777" w:rsidR="00957EFE" w:rsidRPr="00957EFE" w:rsidRDefault="00957EFE" w:rsidP="00957EFE">
            <w:pPr>
              <w:jc w:val="both"/>
              <w:rPr>
                <w:i/>
                <w:iCs/>
                <w:color w:val="000000"/>
                <w:lang w:val="en-ID" w:eastAsia="en-ID"/>
              </w:rPr>
            </w:pPr>
            <w:r w:rsidRPr="00957EFE">
              <w:rPr>
                <w:i/>
                <w:iCs/>
                <w:color w:val="000000"/>
                <w:lang w:val="en-ID" w:eastAsia="en-ID"/>
              </w:rPr>
              <w:t>Leverage</w:t>
            </w:r>
          </w:p>
        </w:tc>
        <w:tc>
          <w:tcPr>
            <w:tcW w:w="3038" w:type="dxa"/>
            <w:noWrap/>
            <w:vAlign w:val="bottom"/>
            <w:hideMark/>
          </w:tcPr>
          <w:p w14:paraId="659B50BE" w14:textId="77777777" w:rsidR="00957EFE" w:rsidRPr="00957EFE" w:rsidRDefault="00957EFE" w:rsidP="00957EFE">
            <w:pPr>
              <w:jc w:val="center"/>
              <w:rPr>
                <w:color w:val="000000"/>
                <w:lang w:val="en-ID" w:eastAsia="en-ID"/>
              </w:rPr>
            </w:pPr>
            <w:r w:rsidRPr="00957EFE">
              <w:rPr>
                <w:color w:val="000000"/>
                <w:lang w:val="en-ID" w:eastAsia="en-ID"/>
              </w:rPr>
              <w:t>1,000</w:t>
            </w:r>
          </w:p>
        </w:tc>
      </w:tr>
      <w:tr w:rsidR="00957EFE" w:rsidRPr="009E52C2" w14:paraId="555B2231" w14:textId="77777777" w:rsidTr="00654974">
        <w:trPr>
          <w:trHeight w:val="170"/>
          <w:jc w:val="center"/>
        </w:trPr>
        <w:tc>
          <w:tcPr>
            <w:tcW w:w="4010" w:type="dxa"/>
            <w:noWrap/>
            <w:vAlign w:val="bottom"/>
            <w:hideMark/>
          </w:tcPr>
          <w:p w14:paraId="3FEDC0F6" w14:textId="77777777" w:rsidR="00957EFE" w:rsidRPr="00957EFE" w:rsidRDefault="00957EFE" w:rsidP="00957EFE">
            <w:pPr>
              <w:jc w:val="both"/>
              <w:rPr>
                <w:color w:val="000000"/>
                <w:lang w:val="en-ID" w:eastAsia="en-ID"/>
              </w:rPr>
            </w:pPr>
            <w:r w:rsidRPr="00957EFE">
              <w:rPr>
                <w:color w:val="000000"/>
                <w:lang w:val="en-ID" w:eastAsia="en-ID"/>
              </w:rPr>
              <w:t>ROA</w:t>
            </w:r>
          </w:p>
        </w:tc>
        <w:tc>
          <w:tcPr>
            <w:tcW w:w="3038" w:type="dxa"/>
            <w:noWrap/>
            <w:vAlign w:val="bottom"/>
            <w:hideMark/>
          </w:tcPr>
          <w:p w14:paraId="1F1074BC" w14:textId="77777777" w:rsidR="00957EFE" w:rsidRPr="00957EFE" w:rsidRDefault="00957EFE" w:rsidP="00957EFE">
            <w:pPr>
              <w:jc w:val="center"/>
              <w:rPr>
                <w:color w:val="000000"/>
                <w:lang w:val="en-ID" w:eastAsia="en-ID"/>
              </w:rPr>
            </w:pPr>
            <w:r w:rsidRPr="00957EFE">
              <w:rPr>
                <w:color w:val="000000"/>
                <w:lang w:val="en-ID" w:eastAsia="en-ID"/>
              </w:rPr>
              <w:t>1,000</w:t>
            </w:r>
          </w:p>
        </w:tc>
      </w:tr>
      <w:tr w:rsidR="00957EFE" w:rsidRPr="009E52C2" w14:paraId="3B2030CB" w14:textId="77777777" w:rsidTr="00654974">
        <w:trPr>
          <w:trHeight w:val="170"/>
          <w:jc w:val="center"/>
        </w:trPr>
        <w:tc>
          <w:tcPr>
            <w:tcW w:w="4010" w:type="dxa"/>
            <w:noWrap/>
            <w:vAlign w:val="bottom"/>
            <w:hideMark/>
          </w:tcPr>
          <w:p w14:paraId="243BA019" w14:textId="77777777" w:rsidR="00957EFE" w:rsidRPr="00957EFE" w:rsidRDefault="00957EFE" w:rsidP="00957EFE">
            <w:pPr>
              <w:jc w:val="both"/>
              <w:rPr>
                <w:color w:val="000000"/>
                <w:lang w:val="en-ID" w:eastAsia="en-ID"/>
              </w:rPr>
            </w:pPr>
            <w:r w:rsidRPr="00957EFE">
              <w:rPr>
                <w:color w:val="000000"/>
                <w:lang w:val="en-ID" w:eastAsia="en-ID"/>
              </w:rPr>
              <w:t>Spesialis</w:t>
            </w:r>
          </w:p>
        </w:tc>
        <w:tc>
          <w:tcPr>
            <w:tcW w:w="3038" w:type="dxa"/>
            <w:noWrap/>
            <w:vAlign w:val="bottom"/>
            <w:hideMark/>
          </w:tcPr>
          <w:p w14:paraId="1E79A0F2" w14:textId="77777777" w:rsidR="00957EFE" w:rsidRPr="00957EFE" w:rsidRDefault="00957EFE" w:rsidP="00957EFE">
            <w:pPr>
              <w:jc w:val="center"/>
              <w:rPr>
                <w:color w:val="000000"/>
                <w:lang w:val="en-ID" w:eastAsia="en-ID"/>
              </w:rPr>
            </w:pPr>
            <w:r w:rsidRPr="00957EFE">
              <w:rPr>
                <w:color w:val="000000"/>
                <w:lang w:val="en-ID" w:eastAsia="en-ID"/>
              </w:rPr>
              <w:t>1,000</w:t>
            </w:r>
          </w:p>
        </w:tc>
      </w:tr>
      <w:tr w:rsidR="00957EFE" w:rsidRPr="009E52C2" w14:paraId="658E054A" w14:textId="77777777" w:rsidTr="00654974">
        <w:trPr>
          <w:trHeight w:val="170"/>
          <w:jc w:val="center"/>
        </w:trPr>
        <w:tc>
          <w:tcPr>
            <w:tcW w:w="4010" w:type="dxa"/>
            <w:noWrap/>
            <w:vAlign w:val="bottom"/>
            <w:hideMark/>
          </w:tcPr>
          <w:p w14:paraId="5CFC9D28" w14:textId="77777777" w:rsidR="00957EFE" w:rsidRPr="00957EFE" w:rsidRDefault="00957EFE" w:rsidP="00957EFE">
            <w:pPr>
              <w:jc w:val="both"/>
              <w:rPr>
                <w:color w:val="000000"/>
                <w:lang w:val="en-ID" w:eastAsia="en-ID"/>
              </w:rPr>
            </w:pPr>
            <w:r w:rsidRPr="00957EFE">
              <w:rPr>
                <w:color w:val="000000"/>
                <w:lang w:val="en-ID" w:eastAsia="en-ID"/>
              </w:rPr>
              <w:t>Ukuran Perusahaan</w:t>
            </w:r>
          </w:p>
        </w:tc>
        <w:tc>
          <w:tcPr>
            <w:tcW w:w="3038" w:type="dxa"/>
            <w:noWrap/>
            <w:vAlign w:val="bottom"/>
            <w:hideMark/>
          </w:tcPr>
          <w:p w14:paraId="6225F753" w14:textId="77777777" w:rsidR="00957EFE" w:rsidRPr="00957EFE" w:rsidRDefault="00957EFE" w:rsidP="00957EFE">
            <w:pPr>
              <w:jc w:val="center"/>
              <w:rPr>
                <w:color w:val="000000"/>
                <w:lang w:val="en-ID" w:eastAsia="en-ID"/>
              </w:rPr>
            </w:pPr>
            <w:r w:rsidRPr="00957EFE">
              <w:rPr>
                <w:color w:val="000000"/>
                <w:lang w:val="en-ID" w:eastAsia="en-ID"/>
              </w:rPr>
              <w:t>1,000</w:t>
            </w:r>
          </w:p>
        </w:tc>
      </w:tr>
    </w:tbl>
    <w:p w14:paraId="280EC6D5" w14:textId="6A9BEF8C" w:rsidR="004F36EC" w:rsidRPr="004F36EC" w:rsidRDefault="004F36EC" w:rsidP="004F36EC">
      <w:pPr>
        <w:tabs>
          <w:tab w:val="left" w:pos="2127"/>
        </w:tabs>
        <w:jc w:val="both"/>
      </w:pPr>
      <w:r>
        <w:t xml:space="preserve">Sumber: </w:t>
      </w:r>
      <w:r w:rsidRPr="009E52C2">
        <w:rPr>
          <w:noProof/>
        </w:rPr>
        <w:t>Hasil Olah Data Penelitian (202</w:t>
      </w:r>
      <w:r>
        <w:rPr>
          <w:noProof/>
        </w:rPr>
        <w:t>6</w:t>
      </w:r>
      <w:r w:rsidRPr="009E52C2">
        <w:rPr>
          <w:noProof/>
        </w:rPr>
        <w:t>)</w:t>
      </w:r>
    </w:p>
    <w:p w14:paraId="2501F8D7" w14:textId="4A43D9FE" w:rsidR="0093659F" w:rsidRDefault="0093659F" w:rsidP="00957EFE">
      <w:pPr>
        <w:tabs>
          <w:tab w:val="left" w:pos="2127"/>
        </w:tabs>
        <w:spacing w:before="240"/>
        <w:jc w:val="both"/>
        <w:rPr>
          <w:b/>
          <w:bCs/>
        </w:rPr>
      </w:pPr>
      <w:r>
        <w:rPr>
          <w:b/>
          <w:bCs/>
        </w:rPr>
        <w:t>Evaluasi Model Struktural (</w:t>
      </w:r>
      <w:r>
        <w:rPr>
          <w:b/>
          <w:bCs/>
          <w:i/>
          <w:iCs/>
        </w:rPr>
        <w:t>Inner Model</w:t>
      </w:r>
      <w:r>
        <w:rPr>
          <w:b/>
          <w:bCs/>
        </w:rPr>
        <w:t>)</w:t>
      </w:r>
    </w:p>
    <w:p w14:paraId="61BEF451" w14:textId="42175D62" w:rsidR="00957EFE" w:rsidRDefault="00F52A91" w:rsidP="00F91D99">
      <w:pPr>
        <w:tabs>
          <w:tab w:val="left" w:pos="2127"/>
        </w:tabs>
        <w:spacing w:after="80"/>
        <w:ind w:firstLine="709"/>
        <w:jc w:val="both"/>
      </w:pPr>
      <w:r w:rsidRPr="00F52A91">
        <w:t>Setelah model pengukuran dinyatakan valid dan reliabel, tahap selanjutnya adalah evaluasi model struktural (</w:t>
      </w:r>
      <w:r w:rsidRPr="004F36EC">
        <w:rPr>
          <w:i/>
          <w:iCs/>
        </w:rPr>
        <w:t>inner</w:t>
      </w:r>
      <w:r w:rsidRPr="00F52A91">
        <w:t xml:space="preserve"> </w:t>
      </w:r>
      <w:r w:rsidRPr="004F36EC">
        <w:rPr>
          <w:i/>
          <w:iCs/>
        </w:rPr>
        <w:t>model</w:t>
      </w:r>
      <w:r w:rsidRPr="00F52A91">
        <w:t xml:space="preserve">). Evaluasi ini bertujuan untuk menilai kemampuan model dalam menjelaskan hubungan antar variabel penelitian. Pengujian inner model dilakukan melalui pengujian koefisien determinasi (R²), </w:t>
      </w:r>
      <w:r w:rsidRPr="004F36EC">
        <w:rPr>
          <w:i/>
          <w:iCs/>
        </w:rPr>
        <w:t>predictive</w:t>
      </w:r>
      <w:r w:rsidRPr="00F52A91">
        <w:t xml:space="preserve"> </w:t>
      </w:r>
      <w:r w:rsidRPr="004F36EC">
        <w:rPr>
          <w:i/>
          <w:iCs/>
        </w:rPr>
        <w:t>relevance</w:t>
      </w:r>
      <w:r w:rsidRPr="00F52A91">
        <w:t xml:space="preserve"> (Q²), </w:t>
      </w:r>
      <w:r w:rsidRPr="004F36EC">
        <w:rPr>
          <w:i/>
          <w:iCs/>
        </w:rPr>
        <w:t>model</w:t>
      </w:r>
      <w:r w:rsidRPr="00F52A91">
        <w:t xml:space="preserve"> </w:t>
      </w:r>
      <w:r w:rsidRPr="004F36EC">
        <w:rPr>
          <w:i/>
          <w:iCs/>
        </w:rPr>
        <w:t>fit</w:t>
      </w:r>
      <w:r w:rsidRPr="00F52A91">
        <w:t xml:space="preserve">, serta </w:t>
      </w:r>
      <w:r w:rsidRPr="004F36EC">
        <w:rPr>
          <w:i/>
          <w:iCs/>
        </w:rPr>
        <w:t>effect</w:t>
      </w:r>
      <w:r w:rsidRPr="00F52A91">
        <w:t xml:space="preserve"> </w:t>
      </w:r>
      <w:r w:rsidRPr="004F36EC">
        <w:rPr>
          <w:i/>
          <w:iCs/>
        </w:rPr>
        <w:t>size</w:t>
      </w:r>
      <w:r w:rsidRPr="00F52A91">
        <w:t xml:space="preserve"> (f²).</w:t>
      </w:r>
    </w:p>
    <w:p w14:paraId="03E8CA82" w14:textId="72EBDD25" w:rsidR="00F52A91" w:rsidRDefault="00F52A91" w:rsidP="00F52A91">
      <w:pPr>
        <w:tabs>
          <w:tab w:val="left" w:pos="2127"/>
        </w:tabs>
        <w:ind w:firstLine="709"/>
        <w:jc w:val="both"/>
      </w:pPr>
      <w:r w:rsidRPr="00F52A91">
        <w:t>Koefisien determinasi</w:t>
      </w:r>
      <w:r>
        <w:t xml:space="preserve"> (</w:t>
      </w:r>
      <w:r w:rsidRPr="00F52A91">
        <w:t>R²</w:t>
      </w:r>
      <w:r>
        <w:t>)</w:t>
      </w:r>
      <w:r w:rsidRPr="00F52A91">
        <w:t xml:space="preserve"> digunakan untuk mengukur kemampuan variabel independen dalam menjelaskan variabel dependen.</w:t>
      </w:r>
      <w:r>
        <w:t xml:space="preserve"> </w:t>
      </w:r>
      <w:r w:rsidRPr="00F52A91">
        <w:t xml:space="preserve">Nilai R² sebesar 0,198 menunjukkan bahwa 19,8% variasi </w:t>
      </w:r>
      <w:r w:rsidRPr="004F36EC">
        <w:rPr>
          <w:i/>
          <w:iCs/>
        </w:rPr>
        <w:t>tax</w:t>
      </w:r>
      <w:r w:rsidRPr="00F52A91">
        <w:t xml:space="preserve"> </w:t>
      </w:r>
      <w:r w:rsidRPr="004F36EC">
        <w:rPr>
          <w:i/>
          <w:iCs/>
        </w:rPr>
        <w:t>evasion</w:t>
      </w:r>
      <w:r w:rsidRPr="00F52A91">
        <w:t xml:space="preserve"> dapat dijelaskan oleh variabel spesialisasi industri auditor, </w:t>
      </w:r>
      <w:r w:rsidRPr="004F36EC">
        <w:rPr>
          <w:i/>
          <w:iCs/>
        </w:rPr>
        <w:t>audit</w:t>
      </w:r>
      <w:r w:rsidRPr="00F52A91">
        <w:t xml:space="preserve"> </w:t>
      </w:r>
      <w:r w:rsidRPr="004F36EC">
        <w:rPr>
          <w:i/>
          <w:iCs/>
        </w:rPr>
        <w:t>fee</w:t>
      </w:r>
      <w:r w:rsidRPr="00F52A91">
        <w:t xml:space="preserve">, </w:t>
      </w:r>
      <w:r w:rsidRPr="004F36EC">
        <w:rPr>
          <w:i/>
          <w:iCs/>
        </w:rPr>
        <w:t>audit</w:t>
      </w:r>
      <w:r w:rsidRPr="00F52A91">
        <w:t xml:space="preserve"> </w:t>
      </w:r>
      <w:r w:rsidRPr="004F36EC">
        <w:rPr>
          <w:i/>
          <w:iCs/>
        </w:rPr>
        <w:t>tenure</w:t>
      </w:r>
      <w:r w:rsidRPr="00F52A91">
        <w:t>, serta variabel kontrol dalam penelitian ini.</w:t>
      </w:r>
    </w:p>
    <w:p w14:paraId="290B2E7F" w14:textId="5C43EDF1" w:rsidR="00F52A91" w:rsidRPr="00F52A91" w:rsidRDefault="00F52A91" w:rsidP="00F52A91">
      <w:pPr>
        <w:pStyle w:val="Caption"/>
        <w:keepNext/>
        <w:spacing w:before="120"/>
        <w:jc w:val="center"/>
        <w:rPr>
          <w:sz w:val="24"/>
          <w:szCs w:val="24"/>
        </w:rPr>
      </w:pPr>
      <w:r w:rsidRPr="00F52A91">
        <w:rPr>
          <w:sz w:val="24"/>
          <w:szCs w:val="24"/>
        </w:rPr>
        <w:t xml:space="preserve">Tabel </w:t>
      </w:r>
      <w:r w:rsidRPr="00F52A91">
        <w:rPr>
          <w:sz w:val="24"/>
          <w:szCs w:val="24"/>
        </w:rPr>
        <w:fldChar w:fldCharType="begin"/>
      </w:r>
      <w:r w:rsidRPr="00F52A91">
        <w:rPr>
          <w:sz w:val="24"/>
          <w:szCs w:val="24"/>
        </w:rPr>
        <w:instrText xml:space="preserve"> SEQ Tabel \* ARABIC </w:instrText>
      </w:r>
      <w:r w:rsidRPr="00F52A91">
        <w:rPr>
          <w:sz w:val="24"/>
          <w:szCs w:val="24"/>
        </w:rPr>
        <w:fldChar w:fldCharType="separate"/>
      </w:r>
      <w:r w:rsidR="005543C9">
        <w:rPr>
          <w:noProof/>
          <w:sz w:val="24"/>
          <w:szCs w:val="24"/>
        </w:rPr>
        <w:t>8</w:t>
      </w:r>
      <w:r w:rsidRPr="00F52A91">
        <w:rPr>
          <w:sz w:val="24"/>
          <w:szCs w:val="24"/>
        </w:rPr>
        <w:fldChar w:fldCharType="end"/>
      </w:r>
      <w:r w:rsidRPr="00F52A91">
        <w:rPr>
          <w:sz w:val="24"/>
          <w:szCs w:val="24"/>
        </w:rPr>
        <w:t xml:space="preserve"> Uji Koefisien Determinasi (R²)</w:t>
      </w:r>
    </w:p>
    <w:tbl>
      <w:tblPr>
        <w:tblW w:w="7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4"/>
        <w:gridCol w:w="2293"/>
        <w:gridCol w:w="2337"/>
      </w:tblGrid>
      <w:tr w:rsidR="00F52A91" w:rsidRPr="009E52C2" w14:paraId="6BC1DDE7" w14:textId="77777777" w:rsidTr="00F52A91">
        <w:trPr>
          <w:trHeight w:val="282"/>
          <w:jc w:val="center"/>
        </w:trPr>
        <w:tc>
          <w:tcPr>
            <w:tcW w:w="3264" w:type="dxa"/>
            <w:noWrap/>
            <w:vAlign w:val="bottom"/>
            <w:hideMark/>
          </w:tcPr>
          <w:p w14:paraId="3002D9C2" w14:textId="77777777" w:rsidR="00F52A91" w:rsidRPr="00F52A91" w:rsidRDefault="00F52A91" w:rsidP="00654974">
            <w:pPr>
              <w:spacing w:line="360" w:lineRule="auto"/>
              <w:jc w:val="center"/>
              <w:rPr>
                <w:b/>
                <w:bCs/>
                <w:color w:val="000000"/>
                <w:lang w:val="en-ID" w:eastAsia="en-ID"/>
              </w:rPr>
            </w:pPr>
            <w:r w:rsidRPr="00F52A91">
              <w:rPr>
                <w:b/>
                <w:bCs/>
                <w:color w:val="000000"/>
                <w:lang w:val="en-ID" w:eastAsia="en-ID"/>
              </w:rPr>
              <w:t>Variabel</w:t>
            </w:r>
          </w:p>
        </w:tc>
        <w:tc>
          <w:tcPr>
            <w:tcW w:w="2293" w:type="dxa"/>
            <w:noWrap/>
            <w:vAlign w:val="bottom"/>
            <w:hideMark/>
          </w:tcPr>
          <w:p w14:paraId="7868BDA4" w14:textId="77777777" w:rsidR="00F52A91" w:rsidRPr="00F52A91" w:rsidRDefault="00F52A91" w:rsidP="00654974">
            <w:pPr>
              <w:spacing w:line="360" w:lineRule="auto"/>
              <w:jc w:val="center"/>
              <w:rPr>
                <w:b/>
                <w:bCs/>
                <w:color w:val="000000"/>
                <w:lang w:val="en-ID" w:eastAsia="en-ID"/>
              </w:rPr>
            </w:pPr>
            <w:r w:rsidRPr="00F52A91">
              <w:rPr>
                <w:b/>
                <w:bCs/>
                <w:color w:val="000000"/>
                <w:lang w:val="en-ID" w:eastAsia="en-ID"/>
              </w:rPr>
              <w:t>R-</w:t>
            </w:r>
            <w:r w:rsidRPr="00F52A91">
              <w:rPr>
                <w:b/>
                <w:bCs/>
                <w:i/>
                <w:iCs/>
                <w:color w:val="000000"/>
                <w:lang w:val="en-ID" w:eastAsia="en-ID"/>
              </w:rPr>
              <w:t>square</w:t>
            </w:r>
          </w:p>
        </w:tc>
        <w:tc>
          <w:tcPr>
            <w:tcW w:w="2337" w:type="dxa"/>
            <w:noWrap/>
            <w:vAlign w:val="bottom"/>
            <w:hideMark/>
          </w:tcPr>
          <w:p w14:paraId="6540386F" w14:textId="77777777" w:rsidR="00F52A91" w:rsidRPr="00F52A91" w:rsidRDefault="00F52A91" w:rsidP="00654974">
            <w:pPr>
              <w:spacing w:line="360" w:lineRule="auto"/>
              <w:jc w:val="center"/>
              <w:rPr>
                <w:b/>
                <w:bCs/>
                <w:color w:val="000000"/>
                <w:lang w:val="en-ID" w:eastAsia="en-ID"/>
              </w:rPr>
            </w:pPr>
            <w:r w:rsidRPr="00F52A91">
              <w:rPr>
                <w:b/>
                <w:bCs/>
                <w:color w:val="000000"/>
                <w:lang w:val="en-ID" w:eastAsia="en-ID"/>
              </w:rPr>
              <w:t>R-</w:t>
            </w:r>
            <w:r w:rsidRPr="00F52A91">
              <w:rPr>
                <w:b/>
                <w:bCs/>
                <w:i/>
                <w:iCs/>
                <w:color w:val="000000"/>
                <w:lang w:val="en-ID" w:eastAsia="en-ID"/>
              </w:rPr>
              <w:t>square adjusted</w:t>
            </w:r>
          </w:p>
        </w:tc>
      </w:tr>
      <w:tr w:rsidR="00F52A91" w:rsidRPr="009E52C2" w14:paraId="7DDCC8F4" w14:textId="77777777" w:rsidTr="00F52A91">
        <w:trPr>
          <w:trHeight w:val="282"/>
          <w:jc w:val="center"/>
        </w:trPr>
        <w:tc>
          <w:tcPr>
            <w:tcW w:w="3264" w:type="dxa"/>
            <w:noWrap/>
            <w:vAlign w:val="bottom"/>
            <w:hideMark/>
          </w:tcPr>
          <w:p w14:paraId="076AD01F" w14:textId="77777777" w:rsidR="00F52A91" w:rsidRPr="00F52A91" w:rsidRDefault="00F52A91" w:rsidP="00654974">
            <w:pPr>
              <w:spacing w:line="360" w:lineRule="auto"/>
              <w:jc w:val="both"/>
              <w:rPr>
                <w:i/>
                <w:iCs/>
                <w:color w:val="000000"/>
                <w:lang w:val="en-ID" w:eastAsia="en-ID"/>
              </w:rPr>
            </w:pPr>
            <w:r w:rsidRPr="00F52A91">
              <w:rPr>
                <w:i/>
                <w:iCs/>
                <w:color w:val="000000"/>
                <w:lang w:val="en-ID" w:eastAsia="en-ID"/>
              </w:rPr>
              <w:t>Tax evasion</w:t>
            </w:r>
          </w:p>
        </w:tc>
        <w:tc>
          <w:tcPr>
            <w:tcW w:w="2293" w:type="dxa"/>
            <w:noWrap/>
            <w:vAlign w:val="bottom"/>
            <w:hideMark/>
          </w:tcPr>
          <w:p w14:paraId="27BEE9A3" w14:textId="77777777" w:rsidR="00F52A91" w:rsidRPr="00F52A91" w:rsidRDefault="00F52A91" w:rsidP="00654974">
            <w:pPr>
              <w:spacing w:line="360" w:lineRule="auto"/>
              <w:jc w:val="center"/>
              <w:rPr>
                <w:color w:val="000000"/>
                <w:lang w:val="en-ID" w:eastAsia="en-ID"/>
              </w:rPr>
            </w:pPr>
            <w:r w:rsidRPr="00F52A91">
              <w:rPr>
                <w:color w:val="000000"/>
                <w:lang w:val="en-ID" w:eastAsia="en-ID"/>
              </w:rPr>
              <w:t>0,198</w:t>
            </w:r>
          </w:p>
        </w:tc>
        <w:tc>
          <w:tcPr>
            <w:tcW w:w="2337" w:type="dxa"/>
            <w:noWrap/>
            <w:vAlign w:val="bottom"/>
            <w:hideMark/>
          </w:tcPr>
          <w:p w14:paraId="6215EAC7" w14:textId="77777777" w:rsidR="00F52A91" w:rsidRPr="00F52A91" w:rsidRDefault="00F52A91" w:rsidP="00654974">
            <w:pPr>
              <w:spacing w:line="360" w:lineRule="auto"/>
              <w:jc w:val="center"/>
              <w:rPr>
                <w:color w:val="000000"/>
                <w:lang w:val="en-ID" w:eastAsia="en-ID"/>
              </w:rPr>
            </w:pPr>
            <w:r w:rsidRPr="00F52A91">
              <w:rPr>
                <w:color w:val="000000"/>
                <w:lang w:val="en-ID" w:eastAsia="en-ID"/>
              </w:rPr>
              <w:t>0,149</w:t>
            </w:r>
          </w:p>
        </w:tc>
      </w:tr>
    </w:tbl>
    <w:p w14:paraId="70B5BE45" w14:textId="07514D50" w:rsidR="004F36EC" w:rsidRDefault="004F36EC" w:rsidP="004F36EC">
      <w:pPr>
        <w:tabs>
          <w:tab w:val="left" w:pos="2127"/>
        </w:tabs>
        <w:spacing w:before="120"/>
        <w:jc w:val="both"/>
      </w:pPr>
      <w:r>
        <w:t xml:space="preserve">Sumber: </w:t>
      </w:r>
      <w:r w:rsidRPr="009E52C2">
        <w:rPr>
          <w:noProof/>
        </w:rPr>
        <w:t>Hasil Olah Data Penelitian (202</w:t>
      </w:r>
      <w:r>
        <w:rPr>
          <w:noProof/>
        </w:rPr>
        <w:t>6</w:t>
      </w:r>
      <w:r w:rsidRPr="009E52C2">
        <w:rPr>
          <w:noProof/>
        </w:rPr>
        <w:t>)</w:t>
      </w:r>
    </w:p>
    <w:p w14:paraId="71D21034" w14:textId="415B9025" w:rsidR="00F52A91" w:rsidRDefault="00F52A91" w:rsidP="00F52A91">
      <w:pPr>
        <w:tabs>
          <w:tab w:val="left" w:pos="2127"/>
        </w:tabs>
        <w:spacing w:before="120"/>
        <w:ind w:firstLine="709"/>
        <w:jc w:val="both"/>
        <w:rPr>
          <w:lang w:val="en-ID"/>
        </w:rPr>
      </w:pPr>
      <w:r w:rsidRPr="009E52C2">
        <w:t xml:space="preserve">Pengujian </w:t>
      </w:r>
      <w:r w:rsidRPr="009E52C2">
        <w:rPr>
          <w:i/>
          <w:iCs/>
        </w:rPr>
        <w:t>predictive relevance</w:t>
      </w:r>
      <w:r w:rsidRPr="009E52C2">
        <w:t xml:space="preserve"> (Q-</w:t>
      </w:r>
      <w:r w:rsidRPr="009E52C2">
        <w:rPr>
          <w:i/>
          <w:iCs/>
        </w:rPr>
        <w:t>square</w:t>
      </w:r>
      <w:r w:rsidRPr="009E52C2">
        <w:t xml:space="preserve">) dilakukan untuk menilai sejauh mana model struktural memiliki kemampuan prediktif terhadap variabel endogen. Nilai Q² diperoleh melalui prosedur </w:t>
      </w:r>
      <w:r w:rsidRPr="009E52C2">
        <w:rPr>
          <w:i/>
          <w:iCs/>
        </w:rPr>
        <w:t>blindfolding</w:t>
      </w:r>
      <w:r w:rsidRPr="009E52C2">
        <w:t xml:space="preserve"> menggunakan SmartPLS. Model penelitian dinyatakan memiliki kemampuan prediktif yang baik apabila nilai Q² lebih besar dari nol. Hasil pengujian </w:t>
      </w:r>
      <w:r w:rsidRPr="009E52C2">
        <w:rPr>
          <w:i/>
          <w:iCs/>
        </w:rPr>
        <w:t>predictive relevance</w:t>
      </w:r>
      <w:r w:rsidRPr="009E52C2">
        <w:t xml:space="preserve"> (Q-</w:t>
      </w:r>
      <w:r w:rsidRPr="009E52C2">
        <w:rPr>
          <w:i/>
          <w:iCs/>
        </w:rPr>
        <w:t>square</w:t>
      </w:r>
      <w:r w:rsidRPr="009E52C2">
        <w:t xml:space="preserve">) disajikan pada tabel </w:t>
      </w:r>
      <w:r>
        <w:t>9</w:t>
      </w:r>
      <w:r w:rsidRPr="009E52C2">
        <w:t>.</w:t>
      </w:r>
      <w:r>
        <w:t xml:space="preserve"> </w:t>
      </w:r>
      <w:r w:rsidRPr="009E52C2">
        <w:rPr>
          <w:lang w:val="en-ID"/>
        </w:rPr>
        <w:t xml:space="preserve">Berdasarkan hasil </w:t>
      </w:r>
      <w:r w:rsidRPr="009E52C2">
        <w:rPr>
          <w:lang w:val="en-ID"/>
        </w:rPr>
        <w:lastRenderedPageBreak/>
        <w:t>uji</w:t>
      </w:r>
      <w:r>
        <w:rPr>
          <w:i/>
          <w:iCs/>
          <w:lang w:val="en-ID"/>
        </w:rPr>
        <w:t xml:space="preserve">, </w:t>
      </w:r>
      <w:r w:rsidRPr="009E52C2">
        <w:rPr>
          <w:lang w:val="en-ID"/>
        </w:rPr>
        <w:t xml:space="preserve">variabel </w:t>
      </w:r>
      <w:r w:rsidRPr="009E52C2">
        <w:rPr>
          <w:i/>
          <w:iCs/>
          <w:lang w:val="en-ID"/>
        </w:rPr>
        <w:t>Tax evasion</w:t>
      </w:r>
      <w:r w:rsidRPr="009E52C2">
        <w:rPr>
          <w:lang w:val="en-ID"/>
        </w:rPr>
        <w:t xml:space="preserve"> memiliki nilai Q² sebesar 0,0</w:t>
      </w:r>
      <w:r>
        <w:rPr>
          <w:lang w:val="en-ID"/>
        </w:rPr>
        <w:t>44</w:t>
      </w:r>
      <w:r w:rsidRPr="009E52C2">
        <w:rPr>
          <w:lang w:val="en-ID"/>
        </w:rPr>
        <w:t xml:space="preserve">. Nilai Q² yang lebih besar dari 0 (Q² &gt; 0) menunjukkan bahwa model penelitian ini memiliki kemampuan prediktif, sehingga variabel-variabel independen yang digunakan mampu memprediksi variabel </w:t>
      </w:r>
      <w:r w:rsidRPr="009E52C2">
        <w:rPr>
          <w:i/>
          <w:iCs/>
          <w:lang w:val="en-ID"/>
        </w:rPr>
        <w:t>tax evasion</w:t>
      </w:r>
      <w:r w:rsidRPr="009E52C2">
        <w:rPr>
          <w:lang w:val="en-ID"/>
        </w:rPr>
        <w:t>.</w:t>
      </w:r>
    </w:p>
    <w:p w14:paraId="6C24416F" w14:textId="76742C01" w:rsidR="00F52A91" w:rsidRPr="00F52A91" w:rsidRDefault="00F52A91" w:rsidP="00F52A91">
      <w:pPr>
        <w:pStyle w:val="Caption"/>
        <w:keepNext/>
        <w:spacing w:before="120"/>
        <w:jc w:val="center"/>
        <w:rPr>
          <w:sz w:val="24"/>
          <w:szCs w:val="24"/>
        </w:rPr>
      </w:pPr>
      <w:r w:rsidRPr="00F52A91">
        <w:rPr>
          <w:sz w:val="24"/>
          <w:szCs w:val="24"/>
        </w:rPr>
        <w:t xml:space="preserve">Tabel </w:t>
      </w:r>
      <w:r w:rsidRPr="00F52A91">
        <w:rPr>
          <w:sz w:val="24"/>
          <w:szCs w:val="24"/>
        </w:rPr>
        <w:fldChar w:fldCharType="begin"/>
      </w:r>
      <w:r w:rsidRPr="00F52A91">
        <w:rPr>
          <w:sz w:val="24"/>
          <w:szCs w:val="24"/>
        </w:rPr>
        <w:instrText xml:space="preserve"> SEQ Tabel \* ARABIC </w:instrText>
      </w:r>
      <w:r w:rsidRPr="00F52A91">
        <w:rPr>
          <w:sz w:val="24"/>
          <w:szCs w:val="24"/>
        </w:rPr>
        <w:fldChar w:fldCharType="separate"/>
      </w:r>
      <w:r w:rsidR="005543C9">
        <w:rPr>
          <w:noProof/>
          <w:sz w:val="24"/>
          <w:szCs w:val="24"/>
        </w:rPr>
        <w:t>9</w:t>
      </w:r>
      <w:r w:rsidRPr="00F52A91">
        <w:rPr>
          <w:sz w:val="24"/>
          <w:szCs w:val="24"/>
        </w:rPr>
        <w:fldChar w:fldCharType="end"/>
      </w:r>
      <w:r w:rsidRPr="00F52A91">
        <w:rPr>
          <w:sz w:val="24"/>
          <w:szCs w:val="24"/>
        </w:rPr>
        <w:t xml:space="preserve"> Uji </w:t>
      </w:r>
      <w:r w:rsidRPr="00F52A91">
        <w:rPr>
          <w:i/>
          <w:iCs/>
          <w:sz w:val="24"/>
          <w:szCs w:val="24"/>
        </w:rPr>
        <w:t>Predictive Value</w:t>
      </w:r>
      <w:r w:rsidRPr="00F52A91">
        <w:rPr>
          <w:sz w:val="24"/>
          <w:szCs w:val="24"/>
        </w:rPr>
        <w:t xml:space="preserve"> (</w:t>
      </w:r>
      <w:r w:rsidRPr="009E52C2">
        <w:rPr>
          <w:sz w:val="24"/>
          <w:szCs w:val="24"/>
          <w:lang w:val="en-ID"/>
        </w:rPr>
        <w:t>Q²</w:t>
      </w:r>
      <w:r w:rsidRPr="00F52A91">
        <w:rPr>
          <w:sz w:val="24"/>
          <w:szCs w:val="24"/>
        </w:rPr>
        <w:t>)</w:t>
      </w:r>
    </w:p>
    <w:tbl>
      <w:tblPr>
        <w:tblW w:w="6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3140"/>
      </w:tblGrid>
      <w:tr w:rsidR="00F52A91" w:rsidRPr="009E52C2" w14:paraId="4A1C94A1" w14:textId="77777777" w:rsidTr="00654974">
        <w:trPr>
          <w:trHeight w:val="233"/>
          <w:jc w:val="center"/>
        </w:trPr>
        <w:tc>
          <w:tcPr>
            <w:tcW w:w="2973" w:type="dxa"/>
            <w:noWrap/>
            <w:vAlign w:val="bottom"/>
            <w:hideMark/>
          </w:tcPr>
          <w:p w14:paraId="606756D5" w14:textId="77777777" w:rsidR="00F52A91" w:rsidRPr="009E52C2" w:rsidRDefault="00F52A91" w:rsidP="00654974">
            <w:pPr>
              <w:spacing w:line="360" w:lineRule="auto"/>
              <w:jc w:val="center"/>
              <w:rPr>
                <w:b/>
                <w:bCs/>
                <w:lang w:val="en-ID" w:eastAsia="en-ID"/>
              </w:rPr>
            </w:pPr>
            <w:r w:rsidRPr="009E52C2">
              <w:rPr>
                <w:b/>
                <w:bCs/>
                <w:lang w:val="en-ID" w:eastAsia="en-ID"/>
              </w:rPr>
              <w:t>Variabel</w:t>
            </w:r>
          </w:p>
        </w:tc>
        <w:tc>
          <w:tcPr>
            <w:tcW w:w="3140" w:type="dxa"/>
            <w:noWrap/>
            <w:vAlign w:val="bottom"/>
            <w:hideMark/>
          </w:tcPr>
          <w:p w14:paraId="777B23E2" w14:textId="77777777" w:rsidR="00F52A91" w:rsidRPr="009E52C2" w:rsidRDefault="00F52A91" w:rsidP="00654974">
            <w:pPr>
              <w:spacing w:line="360" w:lineRule="auto"/>
              <w:jc w:val="center"/>
              <w:rPr>
                <w:b/>
                <w:bCs/>
                <w:color w:val="000000"/>
                <w:lang w:val="en-ID" w:eastAsia="en-ID"/>
              </w:rPr>
            </w:pPr>
            <w:r w:rsidRPr="009E52C2">
              <w:rPr>
                <w:b/>
                <w:bCs/>
                <w:color w:val="000000"/>
                <w:lang w:val="en-ID" w:eastAsia="en-ID"/>
              </w:rPr>
              <w:t>Q²predict</w:t>
            </w:r>
          </w:p>
        </w:tc>
      </w:tr>
      <w:tr w:rsidR="00F52A91" w:rsidRPr="009E52C2" w14:paraId="13891815" w14:textId="77777777" w:rsidTr="00654974">
        <w:trPr>
          <w:trHeight w:val="233"/>
          <w:jc w:val="center"/>
        </w:trPr>
        <w:tc>
          <w:tcPr>
            <w:tcW w:w="2973" w:type="dxa"/>
            <w:noWrap/>
            <w:vAlign w:val="bottom"/>
            <w:hideMark/>
          </w:tcPr>
          <w:p w14:paraId="457EC452" w14:textId="77777777" w:rsidR="00F52A91" w:rsidRPr="009E52C2" w:rsidRDefault="00F52A91" w:rsidP="00654974">
            <w:pPr>
              <w:spacing w:line="360" w:lineRule="auto"/>
              <w:jc w:val="both"/>
              <w:rPr>
                <w:color w:val="000000"/>
                <w:lang w:val="en-ID" w:eastAsia="en-ID"/>
              </w:rPr>
            </w:pPr>
            <w:r w:rsidRPr="009E52C2">
              <w:rPr>
                <w:i/>
                <w:color w:val="000000"/>
                <w:lang w:val="en-ID" w:eastAsia="en-ID"/>
              </w:rPr>
              <w:t>Tax evasion</w:t>
            </w:r>
          </w:p>
        </w:tc>
        <w:tc>
          <w:tcPr>
            <w:tcW w:w="3140" w:type="dxa"/>
            <w:noWrap/>
            <w:vAlign w:val="bottom"/>
            <w:hideMark/>
          </w:tcPr>
          <w:p w14:paraId="2B3E63D8" w14:textId="77777777" w:rsidR="00F52A91" w:rsidRPr="009E52C2" w:rsidRDefault="00F52A91" w:rsidP="00654974">
            <w:pPr>
              <w:spacing w:line="360" w:lineRule="auto"/>
              <w:jc w:val="center"/>
              <w:rPr>
                <w:color w:val="000000"/>
                <w:lang w:val="en-ID" w:eastAsia="en-ID"/>
              </w:rPr>
            </w:pPr>
            <w:r w:rsidRPr="009E52C2">
              <w:rPr>
                <w:color w:val="000000"/>
                <w:lang w:val="en-ID" w:eastAsia="en-ID"/>
              </w:rPr>
              <w:t>0.0</w:t>
            </w:r>
            <w:r>
              <w:rPr>
                <w:color w:val="000000"/>
                <w:lang w:val="en-ID" w:eastAsia="en-ID"/>
              </w:rPr>
              <w:t>44</w:t>
            </w:r>
          </w:p>
        </w:tc>
      </w:tr>
    </w:tbl>
    <w:p w14:paraId="5A9FCC0F" w14:textId="3F644476" w:rsidR="004F36EC" w:rsidRPr="004F36EC" w:rsidRDefault="004F36EC" w:rsidP="004F36EC">
      <w:pPr>
        <w:tabs>
          <w:tab w:val="left" w:pos="2127"/>
        </w:tabs>
        <w:jc w:val="both"/>
        <w:rPr>
          <w:b/>
          <w:bCs/>
          <w:lang w:val="en-ID"/>
        </w:rPr>
      </w:pPr>
      <w:r>
        <w:t xml:space="preserve">Sumber: </w:t>
      </w:r>
      <w:r w:rsidRPr="009E52C2">
        <w:rPr>
          <w:noProof/>
        </w:rPr>
        <w:t>Hasil Olah Data Penelitian (202</w:t>
      </w:r>
      <w:r>
        <w:rPr>
          <w:noProof/>
        </w:rPr>
        <w:t>6</w:t>
      </w:r>
      <w:r w:rsidRPr="009E52C2">
        <w:rPr>
          <w:noProof/>
        </w:rPr>
        <w:t>)</w:t>
      </w:r>
    </w:p>
    <w:p w14:paraId="1A3A8B1B" w14:textId="077CD263" w:rsidR="00F52A91" w:rsidRDefault="00F52A91" w:rsidP="004F36EC">
      <w:pPr>
        <w:tabs>
          <w:tab w:val="left" w:pos="2127"/>
        </w:tabs>
        <w:spacing w:before="120"/>
        <w:ind w:firstLine="709"/>
        <w:jc w:val="both"/>
        <w:rPr>
          <w:lang w:val="en-ID"/>
        </w:rPr>
      </w:pPr>
      <w:r w:rsidRPr="009E52C2">
        <w:rPr>
          <w:lang w:val="en-ID"/>
        </w:rPr>
        <w:t xml:space="preserve">Pengujian validasi </w:t>
      </w:r>
      <w:r w:rsidRPr="009E52C2">
        <w:rPr>
          <w:i/>
          <w:iCs/>
          <w:lang w:val="en-ID"/>
        </w:rPr>
        <w:t>model fit</w:t>
      </w:r>
      <w:r w:rsidRPr="009E52C2">
        <w:rPr>
          <w:lang w:val="en-ID"/>
        </w:rPr>
        <w:t xml:space="preserve"> dilakukan untuk menilai tingkat kesesuaian model struktural yang dibangun dengan data empiris penelitian. Evaluasi </w:t>
      </w:r>
      <w:r w:rsidRPr="009E52C2">
        <w:rPr>
          <w:i/>
          <w:iCs/>
          <w:lang w:val="en-ID"/>
        </w:rPr>
        <w:t>model fit</w:t>
      </w:r>
      <w:r w:rsidRPr="009E52C2">
        <w:rPr>
          <w:lang w:val="en-ID"/>
        </w:rPr>
        <w:t xml:space="preserve"> pada penelitian ini didasarkan pada dua indikator utama, yaitu </w:t>
      </w:r>
      <w:r w:rsidRPr="009E52C2">
        <w:rPr>
          <w:i/>
          <w:iCs/>
          <w:lang w:val="en-ID"/>
        </w:rPr>
        <w:t>Standardized Root Mean Square Residual</w:t>
      </w:r>
      <w:r w:rsidRPr="009E52C2">
        <w:rPr>
          <w:lang w:val="en-ID"/>
        </w:rPr>
        <w:t xml:space="preserve"> (SRMR) dan </w:t>
      </w:r>
      <w:r w:rsidRPr="009E52C2">
        <w:rPr>
          <w:i/>
          <w:iCs/>
          <w:lang w:val="en-ID"/>
        </w:rPr>
        <w:t>Normed Fit Index</w:t>
      </w:r>
      <w:r w:rsidRPr="009E52C2">
        <w:rPr>
          <w:lang w:val="en-ID"/>
        </w:rPr>
        <w:t xml:space="preserve"> (NFI). Nilai SRMR dinyatakan memiliki tingkat kesesuaian yang baik apabila nilai SRMR kurang dari 0,08. Sementara itu, NFI digunakan untuk membandingkan kesesuaian model penelitian dengan model nol, di mana nilai NFI yang mendekati 1 menunjukkan tingkat </w:t>
      </w:r>
      <w:r w:rsidRPr="009E52C2">
        <w:rPr>
          <w:i/>
          <w:iCs/>
          <w:lang w:val="en-ID"/>
        </w:rPr>
        <w:t>model fit</w:t>
      </w:r>
      <w:r w:rsidRPr="009E52C2">
        <w:rPr>
          <w:lang w:val="en-ID"/>
        </w:rPr>
        <w:t xml:space="preserve"> yang semakin baik, dan nilai NFI ≥ 0,90 dianggap telah memenuhi kriteria kelayakan model.</w:t>
      </w:r>
    </w:p>
    <w:p w14:paraId="026E6351" w14:textId="601ED7F7" w:rsidR="00E519A5" w:rsidRPr="00E519A5" w:rsidRDefault="00E519A5" w:rsidP="00E519A5">
      <w:pPr>
        <w:pStyle w:val="Caption"/>
        <w:keepNext/>
        <w:spacing w:before="120"/>
        <w:jc w:val="center"/>
        <w:rPr>
          <w:sz w:val="24"/>
          <w:szCs w:val="24"/>
        </w:rPr>
      </w:pPr>
      <w:r w:rsidRPr="00E519A5">
        <w:rPr>
          <w:sz w:val="24"/>
          <w:szCs w:val="24"/>
        </w:rPr>
        <w:t xml:space="preserve">Tabel </w:t>
      </w:r>
      <w:r w:rsidRPr="00E519A5">
        <w:rPr>
          <w:sz w:val="24"/>
          <w:szCs w:val="24"/>
        </w:rPr>
        <w:fldChar w:fldCharType="begin"/>
      </w:r>
      <w:r w:rsidRPr="00E519A5">
        <w:rPr>
          <w:sz w:val="24"/>
          <w:szCs w:val="24"/>
        </w:rPr>
        <w:instrText xml:space="preserve"> SEQ Tabel \* ARABIC </w:instrText>
      </w:r>
      <w:r w:rsidRPr="00E519A5">
        <w:rPr>
          <w:sz w:val="24"/>
          <w:szCs w:val="24"/>
        </w:rPr>
        <w:fldChar w:fldCharType="separate"/>
      </w:r>
      <w:r w:rsidR="005543C9">
        <w:rPr>
          <w:noProof/>
          <w:sz w:val="24"/>
          <w:szCs w:val="24"/>
        </w:rPr>
        <w:t>10</w:t>
      </w:r>
      <w:r w:rsidRPr="00E519A5">
        <w:rPr>
          <w:sz w:val="24"/>
          <w:szCs w:val="24"/>
        </w:rPr>
        <w:fldChar w:fldCharType="end"/>
      </w:r>
      <w:r w:rsidRPr="00E519A5">
        <w:rPr>
          <w:sz w:val="24"/>
          <w:szCs w:val="24"/>
        </w:rPr>
        <w:t xml:space="preserve"> Uji </w:t>
      </w:r>
      <w:r w:rsidRPr="00E519A5">
        <w:rPr>
          <w:i/>
          <w:iCs/>
          <w:sz w:val="24"/>
          <w:szCs w:val="24"/>
        </w:rPr>
        <w:t>Model Fit</w:t>
      </w:r>
    </w:p>
    <w:tbl>
      <w:tblPr>
        <w:tblW w:w="8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915"/>
        <w:gridCol w:w="2571"/>
      </w:tblGrid>
      <w:tr w:rsidR="00E519A5" w:rsidRPr="009E52C2" w14:paraId="257DC6A5" w14:textId="77777777" w:rsidTr="00E519A5">
        <w:trPr>
          <w:trHeight w:val="305"/>
          <w:jc w:val="center"/>
        </w:trPr>
        <w:tc>
          <w:tcPr>
            <w:tcW w:w="2663" w:type="dxa"/>
            <w:noWrap/>
            <w:vAlign w:val="bottom"/>
            <w:hideMark/>
          </w:tcPr>
          <w:p w14:paraId="2C6D1C80" w14:textId="77777777" w:rsidR="00E519A5" w:rsidRPr="00E519A5" w:rsidRDefault="00E519A5" w:rsidP="00654974">
            <w:pPr>
              <w:spacing w:line="360" w:lineRule="auto"/>
              <w:rPr>
                <w:color w:val="000000"/>
                <w:lang w:val="en-ID" w:eastAsia="en-ID"/>
              </w:rPr>
            </w:pPr>
          </w:p>
        </w:tc>
        <w:tc>
          <w:tcPr>
            <w:tcW w:w="2915" w:type="dxa"/>
            <w:noWrap/>
            <w:vAlign w:val="bottom"/>
            <w:hideMark/>
          </w:tcPr>
          <w:p w14:paraId="70EB2234" w14:textId="77777777" w:rsidR="00E519A5" w:rsidRPr="00E519A5" w:rsidRDefault="00E519A5" w:rsidP="00654974">
            <w:pPr>
              <w:spacing w:line="360" w:lineRule="auto"/>
              <w:jc w:val="center"/>
              <w:rPr>
                <w:b/>
                <w:bCs/>
                <w:i/>
                <w:iCs/>
                <w:color w:val="000000"/>
                <w:lang w:val="en-ID" w:eastAsia="en-ID"/>
              </w:rPr>
            </w:pPr>
            <w:r w:rsidRPr="00E519A5">
              <w:rPr>
                <w:b/>
                <w:bCs/>
                <w:i/>
                <w:iCs/>
                <w:color w:val="000000"/>
                <w:lang w:val="en-ID" w:eastAsia="en-ID"/>
              </w:rPr>
              <w:t>Saturated model</w:t>
            </w:r>
          </w:p>
        </w:tc>
        <w:tc>
          <w:tcPr>
            <w:tcW w:w="2571" w:type="dxa"/>
            <w:noWrap/>
            <w:vAlign w:val="bottom"/>
            <w:hideMark/>
          </w:tcPr>
          <w:p w14:paraId="078C1E94" w14:textId="77777777" w:rsidR="00E519A5" w:rsidRPr="00E519A5" w:rsidRDefault="00E519A5" w:rsidP="00654974">
            <w:pPr>
              <w:spacing w:line="360" w:lineRule="auto"/>
              <w:jc w:val="center"/>
              <w:rPr>
                <w:b/>
                <w:bCs/>
                <w:i/>
                <w:iCs/>
                <w:color w:val="000000"/>
                <w:lang w:val="en-ID" w:eastAsia="en-ID"/>
              </w:rPr>
            </w:pPr>
            <w:r w:rsidRPr="00E519A5">
              <w:rPr>
                <w:b/>
                <w:bCs/>
                <w:i/>
                <w:iCs/>
                <w:color w:val="000000"/>
                <w:lang w:val="en-ID" w:eastAsia="en-ID"/>
              </w:rPr>
              <w:t>Estimated model</w:t>
            </w:r>
          </w:p>
        </w:tc>
      </w:tr>
      <w:tr w:rsidR="00E519A5" w:rsidRPr="009E52C2" w14:paraId="78E72F5C" w14:textId="77777777" w:rsidTr="00E519A5">
        <w:trPr>
          <w:trHeight w:val="305"/>
          <w:jc w:val="center"/>
        </w:trPr>
        <w:tc>
          <w:tcPr>
            <w:tcW w:w="2663" w:type="dxa"/>
            <w:noWrap/>
            <w:vAlign w:val="bottom"/>
            <w:hideMark/>
          </w:tcPr>
          <w:p w14:paraId="653A683A" w14:textId="77777777" w:rsidR="00E519A5" w:rsidRPr="00E519A5" w:rsidRDefault="00E519A5" w:rsidP="00654974">
            <w:pPr>
              <w:spacing w:line="360" w:lineRule="auto"/>
              <w:rPr>
                <w:color w:val="000000"/>
                <w:lang w:val="en-ID" w:eastAsia="en-ID"/>
              </w:rPr>
            </w:pPr>
            <w:r w:rsidRPr="00E519A5">
              <w:rPr>
                <w:color w:val="000000"/>
                <w:lang w:val="en-ID" w:eastAsia="en-ID"/>
              </w:rPr>
              <w:t>SRMR</w:t>
            </w:r>
          </w:p>
        </w:tc>
        <w:tc>
          <w:tcPr>
            <w:tcW w:w="2915" w:type="dxa"/>
            <w:noWrap/>
            <w:vAlign w:val="bottom"/>
            <w:hideMark/>
          </w:tcPr>
          <w:p w14:paraId="0CBD736F" w14:textId="77777777" w:rsidR="00E519A5" w:rsidRPr="00E519A5" w:rsidRDefault="00E519A5" w:rsidP="00654974">
            <w:pPr>
              <w:spacing w:line="360" w:lineRule="auto"/>
              <w:jc w:val="right"/>
              <w:rPr>
                <w:color w:val="000000"/>
                <w:lang w:val="en-ID" w:eastAsia="en-ID"/>
              </w:rPr>
            </w:pPr>
            <w:r w:rsidRPr="00E519A5">
              <w:rPr>
                <w:color w:val="000000"/>
                <w:lang w:val="en-ID" w:eastAsia="en-ID"/>
              </w:rPr>
              <w:t>0,045</w:t>
            </w:r>
          </w:p>
        </w:tc>
        <w:tc>
          <w:tcPr>
            <w:tcW w:w="2571" w:type="dxa"/>
            <w:noWrap/>
            <w:vAlign w:val="bottom"/>
            <w:hideMark/>
          </w:tcPr>
          <w:p w14:paraId="5B020E30" w14:textId="77777777" w:rsidR="00E519A5" w:rsidRPr="00E519A5" w:rsidRDefault="00E519A5" w:rsidP="00654974">
            <w:pPr>
              <w:spacing w:line="360" w:lineRule="auto"/>
              <w:jc w:val="right"/>
              <w:rPr>
                <w:color w:val="000000"/>
                <w:lang w:val="en-ID" w:eastAsia="en-ID"/>
              </w:rPr>
            </w:pPr>
            <w:r w:rsidRPr="00E519A5">
              <w:rPr>
                <w:color w:val="000000"/>
                <w:lang w:val="en-ID" w:eastAsia="en-ID"/>
              </w:rPr>
              <w:t>0,045</w:t>
            </w:r>
          </w:p>
        </w:tc>
      </w:tr>
      <w:tr w:rsidR="00E519A5" w:rsidRPr="009E52C2" w14:paraId="461ECA3B" w14:textId="77777777" w:rsidTr="00E519A5">
        <w:trPr>
          <w:trHeight w:val="305"/>
          <w:jc w:val="center"/>
        </w:trPr>
        <w:tc>
          <w:tcPr>
            <w:tcW w:w="2663" w:type="dxa"/>
            <w:noWrap/>
            <w:vAlign w:val="bottom"/>
            <w:hideMark/>
          </w:tcPr>
          <w:p w14:paraId="284919DD" w14:textId="77777777" w:rsidR="00E519A5" w:rsidRPr="00E519A5" w:rsidRDefault="00E519A5" w:rsidP="00654974">
            <w:pPr>
              <w:spacing w:line="360" w:lineRule="auto"/>
              <w:rPr>
                <w:color w:val="000000"/>
                <w:lang w:val="en-ID" w:eastAsia="en-ID"/>
              </w:rPr>
            </w:pPr>
            <w:r w:rsidRPr="00E519A5">
              <w:rPr>
                <w:color w:val="000000"/>
                <w:lang w:val="en-ID" w:eastAsia="en-ID"/>
              </w:rPr>
              <w:t>NFI</w:t>
            </w:r>
          </w:p>
        </w:tc>
        <w:tc>
          <w:tcPr>
            <w:tcW w:w="2915" w:type="dxa"/>
            <w:noWrap/>
            <w:vAlign w:val="bottom"/>
            <w:hideMark/>
          </w:tcPr>
          <w:p w14:paraId="1771ECC2" w14:textId="77777777" w:rsidR="00E519A5" w:rsidRPr="00E519A5" w:rsidRDefault="00E519A5" w:rsidP="00654974">
            <w:pPr>
              <w:spacing w:line="360" w:lineRule="auto"/>
              <w:jc w:val="right"/>
              <w:rPr>
                <w:color w:val="000000"/>
                <w:lang w:val="en-ID" w:eastAsia="en-ID"/>
              </w:rPr>
            </w:pPr>
            <w:r w:rsidRPr="00E519A5">
              <w:rPr>
                <w:color w:val="000000"/>
                <w:lang w:val="en-ID" w:eastAsia="en-ID"/>
              </w:rPr>
              <w:t>0,861</w:t>
            </w:r>
          </w:p>
        </w:tc>
        <w:tc>
          <w:tcPr>
            <w:tcW w:w="2571" w:type="dxa"/>
            <w:noWrap/>
            <w:vAlign w:val="bottom"/>
            <w:hideMark/>
          </w:tcPr>
          <w:p w14:paraId="08948E2B" w14:textId="77777777" w:rsidR="00E519A5" w:rsidRPr="00E519A5" w:rsidRDefault="00E519A5" w:rsidP="00654974">
            <w:pPr>
              <w:spacing w:line="360" w:lineRule="auto"/>
              <w:jc w:val="right"/>
              <w:rPr>
                <w:color w:val="000000"/>
                <w:lang w:val="en-ID" w:eastAsia="en-ID"/>
              </w:rPr>
            </w:pPr>
            <w:r w:rsidRPr="00E519A5">
              <w:rPr>
                <w:color w:val="000000"/>
                <w:lang w:val="en-ID" w:eastAsia="en-ID"/>
              </w:rPr>
              <w:t>0,861</w:t>
            </w:r>
          </w:p>
        </w:tc>
      </w:tr>
    </w:tbl>
    <w:p w14:paraId="739D4311" w14:textId="7322E3D3" w:rsidR="004F36EC" w:rsidRDefault="004F36EC" w:rsidP="004F36EC">
      <w:pPr>
        <w:tabs>
          <w:tab w:val="left" w:pos="2127"/>
        </w:tabs>
        <w:jc w:val="both"/>
      </w:pPr>
      <w:r>
        <w:t xml:space="preserve">Sumber: </w:t>
      </w:r>
      <w:r w:rsidRPr="009E52C2">
        <w:rPr>
          <w:noProof/>
        </w:rPr>
        <w:t>Hasil Olah Data Penelitian (202</w:t>
      </w:r>
      <w:r>
        <w:rPr>
          <w:noProof/>
        </w:rPr>
        <w:t>6</w:t>
      </w:r>
      <w:r w:rsidRPr="009E52C2">
        <w:rPr>
          <w:noProof/>
        </w:rPr>
        <w:t>)</w:t>
      </w:r>
    </w:p>
    <w:p w14:paraId="1217FC45" w14:textId="56BEDFD1" w:rsidR="00E519A5" w:rsidRDefault="00E519A5" w:rsidP="004F36EC">
      <w:pPr>
        <w:tabs>
          <w:tab w:val="left" w:pos="2127"/>
        </w:tabs>
        <w:spacing w:before="120"/>
        <w:ind w:firstLine="709"/>
        <w:jc w:val="both"/>
        <w:rPr>
          <w:lang w:val="en-ID"/>
        </w:rPr>
      </w:pPr>
      <w:r w:rsidRPr="009E52C2">
        <w:t xml:space="preserve">Pengujian </w:t>
      </w:r>
      <w:r w:rsidRPr="009E52C2">
        <w:rPr>
          <w:i/>
          <w:iCs/>
        </w:rPr>
        <w:t>effect size</w:t>
      </w:r>
      <w:r w:rsidRPr="009E52C2">
        <w:t xml:space="preserve"> (f²) untuk mengetahui besarnya kontribusi masing-masing variabel laten independen terhadap variabel laten dependen secara parsial. Nilai f² menunjukkan seberapa besar pengaruh suatu variabel independen dalam meningkatkan kemampuan prediktif model struktural. </w:t>
      </w:r>
      <w:r w:rsidRPr="009E52C2">
        <w:rPr>
          <w:lang w:val="en-ID"/>
        </w:rPr>
        <w:t xml:space="preserve">Berdasarkan hasil uji, variabel </w:t>
      </w:r>
      <w:r w:rsidRPr="009E52C2">
        <w:rPr>
          <w:i/>
          <w:iCs/>
          <w:lang w:val="en-ID"/>
        </w:rPr>
        <w:t>audit fee</w:t>
      </w:r>
      <w:r w:rsidRPr="009E52C2">
        <w:rPr>
          <w:lang w:val="en-ID"/>
        </w:rPr>
        <w:t xml:space="preserve"> memiliki nilai f² sebesar 0,00</w:t>
      </w:r>
      <w:r>
        <w:rPr>
          <w:lang w:val="en-ID"/>
        </w:rPr>
        <w:t>5</w:t>
      </w:r>
      <w:r w:rsidRPr="009E52C2">
        <w:rPr>
          <w:lang w:val="en-ID"/>
        </w:rPr>
        <w:t xml:space="preserve">, yang menunjukkan bahwa pengaruh </w:t>
      </w:r>
      <w:r w:rsidRPr="009E52C2">
        <w:rPr>
          <w:i/>
          <w:iCs/>
          <w:lang w:val="en-ID"/>
        </w:rPr>
        <w:t>audit fee</w:t>
      </w:r>
      <w:r w:rsidRPr="009E52C2">
        <w:rPr>
          <w:lang w:val="en-ID"/>
        </w:rPr>
        <w:t xml:space="preserve"> terhadap </w:t>
      </w:r>
      <w:r w:rsidRPr="009E52C2">
        <w:rPr>
          <w:i/>
          <w:lang w:val="en-ID"/>
        </w:rPr>
        <w:t>tax evasion</w:t>
      </w:r>
      <w:r w:rsidRPr="009E52C2">
        <w:rPr>
          <w:lang w:val="en-ID"/>
        </w:rPr>
        <w:t xml:space="preserve"> tergolong sangat kecil (</w:t>
      </w:r>
      <w:r w:rsidRPr="009E52C2">
        <w:rPr>
          <w:i/>
          <w:iCs/>
          <w:lang w:val="en-ID"/>
        </w:rPr>
        <w:t>negligible effect</w:t>
      </w:r>
      <w:r w:rsidRPr="009E52C2">
        <w:rPr>
          <w:lang w:val="en-ID"/>
        </w:rPr>
        <w:t xml:space="preserve">). Variabel </w:t>
      </w:r>
      <w:r w:rsidRPr="009E52C2">
        <w:rPr>
          <w:i/>
          <w:iCs/>
          <w:lang w:val="en-ID"/>
        </w:rPr>
        <w:t>audit tenure</w:t>
      </w:r>
      <w:r w:rsidRPr="009E52C2">
        <w:rPr>
          <w:lang w:val="en-ID"/>
        </w:rPr>
        <w:t xml:space="preserve"> memiliki nilai f² sebesar 0,0</w:t>
      </w:r>
      <w:r>
        <w:rPr>
          <w:lang w:val="en-ID"/>
        </w:rPr>
        <w:t>05</w:t>
      </w:r>
      <w:r w:rsidRPr="009E52C2">
        <w:rPr>
          <w:lang w:val="en-ID"/>
        </w:rPr>
        <w:t>, yang termasuk dalam kategori pengaruh kecil (</w:t>
      </w:r>
      <w:r w:rsidRPr="009E52C2">
        <w:rPr>
          <w:i/>
          <w:iCs/>
          <w:lang w:val="en-ID"/>
        </w:rPr>
        <w:t>negligible effect</w:t>
      </w:r>
      <w:r w:rsidRPr="009E52C2">
        <w:rPr>
          <w:lang w:val="en-ID"/>
        </w:rPr>
        <w:t>). Selanjutnya, variabel Spesialisasi Industri Auditor memiliki nilai f² sebesar 0,0</w:t>
      </w:r>
      <w:r>
        <w:rPr>
          <w:lang w:val="en-ID"/>
        </w:rPr>
        <w:t>81</w:t>
      </w:r>
      <w:r w:rsidRPr="009E52C2">
        <w:rPr>
          <w:lang w:val="en-ID"/>
        </w:rPr>
        <w:t>, yang juga tergolong dalam kategori pengaruh kecil (</w:t>
      </w:r>
      <w:r w:rsidRPr="009E52C2">
        <w:rPr>
          <w:i/>
          <w:iCs/>
          <w:lang w:val="en-ID"/>
        </w:rPr>
        <w:t>small effect</w:t>
      </w:r>
      <w:r w:rsidRPr="009E52C2">
        <w:rPr>
          <w:lang w:val="en-ID"/>
        </w:rPr>
        <w:t>).</w:t>
      </w:r>
    </w:p>
    <w:p w14:paraId="25A7A8DE" w14:textId="5227F29E" w:rsidR="00E519A5" w:rsidRPr="00E519A5" w:rsidRDefault="00E519A5" w:rsidP="00E519A5">
      <w:pPr>
        <w:pStyle w:val="Caption"/>
        <w:keepNext/>
        <w:jc w:val="center"/>
        <w:rPr>
          <w:sz w:val="24"/>
          <w:szCs w:val="24"/>
        </w:rPr>
      </w:pPr>
      <w:r w:rsidRPr="00E519A5">
        <w:rPr>
          <w:sz w:val="24"/>
          <w:szCs w:val="24"/>
        </w:rPr>
        <w:t xml:space="preserve">Tabel </w:t>
      </w:r>
      <w:r w:rsidRPr="00E519A5">
        <w:rPr>
          <w:sz w:val="24"/>
          <w:szCs w:val="24"/>
        </w:rPr>
        <w:fldChar w:fldCharType="begin"/>
      </w:r>
      <w:r w:rsidRPr="00E519A5">
        <w:rPr>
          <w:sz w:val="24"/>
          <w:szCs w:val="24"/>
        </w:rPr>
        <w:instrText xml:space="preserve"> SEQ Tabel \* ARABIC </w:instrText>
      </w:r>
      <w:r w:rsidRPr="00E519A5">
        <w:rPr>
          <w:sz w:val="24"/>
          <w:szCs w:val="24"/>
        </w:rPr>
        <w:fldChar w:fldCharType="separate"/>
      </w:r>
      <w:r w:rsidR="005543C9">
        <w:rPr>
          <w:noProof/>
          <w:sz w:val="24"/>
          <w:szCs w:val="24"/>
        </w:rPr>
        <w:t>11</w:t>
      </w:r>
      <w:r w:rsidRPr="00E519A5">
        <w:rPr>
          <w:sz w:val="24"/>
          <w:szCs w:val="24"/>
        </w:rPr>
        <w:fldChar w:fldCharType="end"/>
      </w:r>
      <w:r w:rsidRPr="00E519A5">
        <w:rPr>
          <w:sz w:val="24"/>
          <w:szCs w:val="24"/>
        </w:rPr>
        <w:t xml:space="preserve"> Uji </w:t>
      </w:r>
      <w:r w:rsidRPr="00E519A5">
        <w:rPr>
          <w:i/>
          <w:iCs/>
          <w:sz w:val="24"/>
          <w:szCs w:val="24"/>
        </w:rPr>
        <w:t xml:space="preserve">Effect Size </w:t>
      </w:r>
      <w:r w:rsidRPr="00E519A5">
        <w:rPr>
          <w:sz w:val="24"/>
          <w:szCs w:val="24"/>
        </w:rPr>
        <w:t>(</w:t>
      </w:r>
      <w:r w:rsidRPr="009E52C2">
        <w:rPr>
          <w:sz w:val="24"/>
          <w:szCs w:val="24"/>
          <w:lang w:val="en-ID"/>
        </w:rPr>
        <w:t>f²</w:t>
      </w:r>
      <w:r w:rsidRPr="00E519A5">
        <w:rPr>
          <w:sz w:val="24"/>
          <w:szCs w:val="24"/>
        </w:rPr>
        <w:t>)</w:t>
      </w:r>
    </w:p>
    <w:tbl>
      <w:tblPr>
        <w:tblW w:w="7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2911"/>
      </w:tblGrid>
      <w:tr w:rsidR="00E519A5" w:rsidRPr="009E52C2" w14:paraId="00058C39" w14:textId="77777777" w:rsidTr="00654974">
        <w:trPr>
          <w:trHeight w:val="314"/>
          <w:jc w:val="center"/>
        </w:trPr>
        <w:tc>
          <w:tcPr>
            <w:tcW w:w="4245" w:type="dxa"/>
            <w:noWrap/>
            <w:vAlign w:val="bottom"/>
            <w:hideMark/>
          </w:tcPr>
          <w:p w14:paraId="6736BC83" w14:textId="77777777" w:rsidR="00E519A5" w:rsidRPr="00E519A5" w:rsidRDefault="00E519A5" w:rsidP="00654974">
            <w:pPr>
              <w:spacing w:line="360" w:lineRule="auto"/>
              <w:jc w:val="center"/>
              <w:rPr>
                <w:b/>
                <w:bCs/>
                <w:color w:val="000000"/>
                <w:lang w:val="en-ID" w:eastAsia="en-ID"/>
              </w:rPr>
            </w:pPr>
            <w:r w:rsidRPr="00E519A5">
              <w:rPr>
                <w:b/>
                <w:bCs/>
                <w:color w:val="000000"/>
                <w:lang w:val="en-ID" w:eastAsia="en-ID"/>
              </w:rPr>
              <w:t>Variabel</w:t>
            </w:r>
          </w:p>
        </w:tc>
        <w:tc>
          <w:tcPr>
            <w:tcW w:w="2911" w:type="dxa"/>
            <w:noWrap/>
            <w:vAlign w:val="bottom"/>
            <w:hideMark/>
          </w:tcPr>
          <w:p w14:paraId="39EACE9F" w14:textId="77777777" w:rsidR="00E519A5" w:rsidRPr="00E519A5" w:rsidRDefault="00E519A5" w:rsidP="00654974">
            <w:pPr>
              <w:spacing w:line="360" w:lineRule="auto"/>
              <w:jc w:val="center"/>
              <w:rPr>
                <w:b/>
                <w:bCs/>
                <w:i/>
                <w:iCs/>
                <w:color w:val="000000"/>
                <w:lang w:val="en-ID" w:eastAsia="en-ID"/>
              </w:rPr>
            </w:pPr>
            <w:r w:rsidRPr="00E519A5">
              <w:rPr>
                <w:b/>
                <w:bCs/>
                <w:i/>
                <w:iCs/>
                <w:color w:val="000000"/>
                <w:lang w:val="en-ID" w:eastAsia="en-ID"/>
              </w:rPr>
              <w:t>Tax evasion</w:t>
            </w:r>
          </w:p>
        </w:tc>
      </w:tr>
      <w:tr w:rsidR="00E519A5" w:rsidRPr="009E52C2" w14:paraId="504F32DD" w14:textId="77777777" w:rsidTr="00654974">
        <w:trPr>
          <w:trHeight w:val="314"/>
          <w:jc w:val="center"/>
        </w:trPr>
        <w:tc>
          <w:tcPr>
            <w:tcW w:w="4245" w:type="dxa"/>
            <w:noWrap/>
            <w:vAlign w:val="bottom"/>
            <w:hideMark/>
          </w:tcPr>
          <w:p w14:paraId="6FE10DBE" w14:textId="77777777" w:rsidR="00E519A5" w:rsidRPr="00E519A5" w:rsidRDefault="00E519A5" w:rsidP="00654974">
            <w:pPr>
              <w:spacing w:line="360" w:lineRule="auto"/>
              <w:jc w:val="both"/>
              <w:rPr>
                <w:i/>
                <w:iCs/>
                <w:color w:val="000000"/>
                <w:lang w:val="en-ID" w:eastAsia="en-ID"/>
              </w:rPr>
            </w:pPr>
            <w:r w:rsidRPr="00E519A5">
              <w:rPr>
                <w:i/>
                <w:iCs/>
                <w:color w:val="000000"/>
                <w:lang w:val="en-ID" w:eastAsia="en-ID"/>
              </w:rPr>
              <w:t>Audit fee</w:t>
            </w:r>
          </w:p>
        </w:tc>
        <w:tc>
          <w:tcPr>
            <w:tcW w:w="2911" w:type="dxa"/>
            <w:noWrap/>
            <w:vAlign w:val="bottom"/>
            <w:hideMark/>
          </w:tcPr>
          <w:p w14:paraId="27D92438" w14:textId="77777777" w:rsidR="00E519A5" w:rsidRPr="00E519A5" w:rsidRDefault="00E519A5" w:rsidP="00654974">
            <w:pPr>
              <w:spacing w:line="360" w:lineRule="auto"/>
              <w:jc w:val="center"/>
              <w:rPr>
                <w:color w:val="000000"/>
                <w:lang w:val="en-ID" w:eastAsia="en-ID"/>
              </w:rPr>
            </w:pPr>
            <w:r w:rsidRPr="00E519A5">
              <w:rPr>
                <w:color w:val="000000"/>
                <w:lang w:val="en-ID" w:eastAsia="en-ID"/>
              </w:rPr>
              <w:t>0,005</w:t>
            </w:r>
          </w:p>
        </w:tc>
      </w:tr>
      <w:tr w:rsidR="00E519A5" w:rsidRPr="009E52C2" w14:paraId="6E1099C2" w14:textId="77777777" w:rsidTr="00654974">
        <w:trPr>
          <w:trHeight w:val="314"/>
          <w:jc w:val="center"/>
        </w:trPr>
        <w:tc>
          <w:tcPr>
            <w:tcW w:w="4245" w:type="dxa"/>
            <w:noWrap/>
            <w:vAlign w:val="bottom"/>
            <w:hideMark/>
          </w:tcPr>
          <w:p w14:paraId="095F1CCF" w14:textId="77777777" w:rsidR="00E519A5" w:rsidRPr="00E519A5" w:rsidRDefault="00E519A5" w:rsidP="00654974">
            <w:pPr>
              <w:spacing w:line="360" w:lineRule="auto"/>
              <w:jc w:val="both"/>
              <w:rPr>
                <w:i/>
                <w:iCs/>
                <w:color w:val="000000"/>
                <w:lang w:val="en-ID" w:eastAsia="en-ID"/>
              </w:rPr>
            </w:pPr>
            <w:r w:rsidRPr="00E519A5">
              <w:rPr>
                <w:i/>
                <w:iCs/>
                <w:color w:val="000000"/>
                <w:lang w:val="en-ID" w:eastAsia="en-ID"/>
              </w:rPr>
              <w:t>Audit tenure</w:t>
            </w:r>
          </w:p>
        </w:tc>
        <w:tc>
          <w:tcPr>
            <w:tcW w:w="2911" w:type="dxa"/>
            <w:noWrap/>
            <w:vAlign w:val="bottom"/>
            <w:hideMark/>
          </w:tcPr>
          <w:p w14:paraId="20E0E07B" w14:textId="77777777" w:rsidR="00E519A5" w:rsidRPr="00E519A5" w:rsidRDefault="00E519A5" w:rsidP="00654974">
            <w:pPr>
              <w:spacing w:line="360" w:lineRule="auto"/>
              <w:jc w:val="center"/>
              <w:rPr>
                <w:color w:val="000000"/>
                <w:lang w:val="en-ID" w:eastAsia="en-ID"/>
              </w:rPr>
            </w:pPr>
            <w:r w:rsidRPr="00E519A5">
              <w:rPr>
                <w:color w:val="000000"/>
                <w:lang w:val="en-ID" w:eastAsia="en-ID"/>
              </w:rPr>
              <w:t>0,005</w:t>
            </w:r>
          </w:p>
        </w:tc>
      </w:tr>
      <w:tr w:rsidR="00E519A5" w:rsidRPr="009E52C2" w14:paraId="24E45E25" w14:textId="77777777" w:rsidTr="00654974">
        <w:trPr>
          <w:trHeight w:val="314"/>
          <w:jc w:val="center"/>
        </w:trPr>
        <w:tc>
          <w:tcPr>
            <w:tcW w:w="4245" w:type="dxa"/>
            <w:noWrap/>
            <w:vAlign w:val="bottom"/>
            <w:hideMark/>
          </w:tcPr>
          <w:p w14:paraId="0DE7A7D5" w14:textId="77777777" w:rsidR="00E519A5" w:rsidRPr="00E519A5" w:rsidRDefault="00E519A5" w:rsidP="00654974">
            <w:pPr>
              <w:spacing w:line="360" w:lineRule="auto"/>
              <w:jc w:val="both"/>
              <w:rPr>
                <w:color w:val="000000"/>
                <w:lang w:val="en-ID" w:eastAsia="en-ID"/>
              </w:rPr>
            </w:pPr>
            <w:r w:rsidRPr="00E519A5">
              <w:rPr>
                <w:color w:val="000000"/>
                <w:lang w:val="en-ID" w:eastAsia="en-ID"/>
              </w:rPr>
              <w:t>Spesialis Industri Auditor</w:t>
            </w:r>
          </w:p>
        </w:tc>
        <w:tc>
          <w:tcPr>
            <w:tcW w:w="2911" w:type="dxa"/>
            <w:noWrap/>
            <w:vAlign w:val="bottom"/>
            <w:hideMark/>
          </w:tcPr>
          <w:p w14:paraId="0B1E4FB4" w14:textId="77777777" w:rsidR="00E519A5" w:rsidRPr="00E519A5" w:rsidRDefault="00E519A5" w:rsidP="00654974">
            <w:pPr>
              <w:spacing w:line="360" w:lineRule="auto"/>
              <w:jc w:val="center"/>
              <w:rPr>
                <w:color w:val="000000"/>
                <w:lang w:val="en-ID" w:eastAsia="en-ID"/>
              </w:rPr>
            </w:pPr>
            <w:r w:rsidRPr="00E519A5">
              <w:rPr>
                <w:color w:val="000000"/>
                <w:lang w:val="en-ID" w:eastAsia="en-ID"/>
              </w:rPr>
              <w:t>0,081</w:t>
            </w:r>
          </w:p>
        </w:tc>
      </w:tr>
    </w:tbl>
    <w:p w14:paraId="18274040" w14:textId="34D8A3E7" w:rsidR="004F36EC" w:rsidRPr="004F36EC" w:rsidRDefault="004F36EC" w:rsidP="00E519A5">
      <w:pPr>
        <w:tabs>
          <w:tab w:val="left" w:pos="2127"/>
        </w:tabs>
        <w:jc w:val="both"/>
      </w:pPr>
      <w:r>
        <w:t xml:space="preserve">Sumber: </w:t>
      </w:r>
      <w:r w:rsidRPr="009E52C2">
        <w:rPr>
          <w:noProof/>
        </w:rPr>
        <w:t>Hasil Olah Data Penelitian (202</w:t>
      </w:r>
      <w:r>
        <w:rPr>
          <w:noProof/>
        </w:rPr>
        <w:t>6</w:t>
      </w:r>
      <w:r w:rsidRPr="009E52C2">
        <w:rPr>
          <w:noProof/>
        </w:rPr>
        <w:t>)</w:t>
      </w:r>
    </w:p>
    <w:p w14:paraId="586B6EBD" w14:textId="5DFB98F1" w:rsidR="00E519A5" w:rsidRPr="00E519A5" w:rsidRDefault="00E519A5" w:rsidP="004F36EC">
      <w:pPr>
        <w:tabs>
          <w:tab w:val="left" w:pos="2127"/>
        </w:tabs>
        <w:spacing w:before="120"/>
        <w:jc w:val="both"/>
        <w:rPr>
          <w:b/>
          <w:bCs/>
          <w:i/>
          <w:iCs/>
        </w:rPr>
      </w:pPr>
      <w:r w:rsidRPr="00E519A5">
        <w:rPr>
          <w:b/>
          <w:bCs/>
          <w:i/>
          <w:iCs/>
        </w:rPr>
        <w:t>Path Coefficients</w:t>
      </w:r>
    </w:p>
    <w:p w14:paraId="6931740D" w14:textId="0AA39172" w:rsidR="00F52A91" w:rsidRDefault="00E519A5" w:rsidP="00E06403">
      <w:pPr>
        <w:tabs>
          <w:tab w:val="left" w:pos="2127"/>
        </w:tabs>
        <w:ind w:firstLine="709"/>
        <w:jc w:val="both"/>
      </w:pPr>
      <w:r w:rsidRPr="009E52C2">
        <w:t xml:space="preserve">Nilai </w:t>
      </w:r>
      <w:r w:rsidRPr="009E52C2">
        <w:rPr>
          <w:i/>
          <w:iCs/>
        </w:rPr>
        <w:t>path coefficients</w:t>
      </w:r>
      <w:r w:rsidRPr="009E52C2">
        <w:t xml:space="preserve"> digunakan untuk menggambarkan arah dan kekuatan hubungan antar variabel laten dalam model struktural. Koefisien jalur ini menjadi dasar dalam menginterpretasikan pengaruh variabel independen terhadap variabel dependen sebelum dilakukan pengujian signifikansi statistik.</w:t>
      </w:r>
      <w:r>
        <w:t xml:space="preserve"> </w:t>
      </w:r>
      <w:r w:rsidRPr="009E52C2">
        <w:t>Suatu hubungan dinyatakan signifikan secara statistik apabila nilai t-</w:t>
      </w:r>
      <w:r w:rsidRPr="009E52C2">
        <w:rPr>
          <w:i/>
          <w:iCs/>
        </w:rPr>
        <w:t>statistic</w:t>
      </w:r>
      <w:r w:rsidRPr="009E52C2">
        <w:t xml:space="preserve"> ≥ 1,96 atau nilai p-</w:t>
      </w:r>
      <w:r w:rsidRPr="009E52C2">
        <w:rPr>
          <w:i/>
          <w:iCs/>
        </w:rPr>
        <w:t>value</w:t>
      </w:r>
      <w:r w:rsidRPr="009E52C2">
        <w:t xml:space="preserve"> &lt; 0,05, yang menunjukkan adanya pengaruh signifikan variabel independen terhadap variabel dependen pada tingkat kepercayaan 95%. Dengan tingkat kepercayaan 95% tersebut, berarti ambang batas hipotesis atau batas tidak keakuratan adalah sebesar 5%</w:t>
      </w:r>
      <w:r w:rsidR="00E06403">
        <w:t xml:space="preserve"> </w:t>
      </w:r>
      <w:r w:rsidR="00E06403">
        <w:fldChar w:fldCharType="begin" w:fldLock="1"/>
      </w:r>
      <w:r w:rsidR="00496977">
        <w:instrText>ADDIN CSL_CITATION {"citationItems":[{"id":"ITEM-1","itemData":{"author":[{"dropping-particle":"","family":"Ghozali","given":"I.","non-dropping-particle":"","parse-names":false,"suffix":""},{"dropping-particle":"","family":"Latan","given":"H.","non-dropping-particle":"","parse-names":false,"suffix":""}],"edition":"3rd","id":"ITEM-1","issued":{"date-parts":[["2020"]]},"publisher":"Badan Penerbit Undip","title":"Partial Least Squares : Konsep, Teknik dan Aplikasi Menggunakan Program SmartPLS 3.2.9 Untuk Penelitian Empiris","type":"book"},"uris":["http://www.mendeley.com/documents/?uuid=51404c3f-690d-41c5-8135-9fa534b6b135"]},{"id":"ITEM-2","itemData":{"author":[{"dropping-particle":"","family":"Ghozali","given":"I.","non-dropping-particle":"","parse-names":false,"suffix":""},{"dropping-particle":"","family":"Kusumadewi","given":"K. A.","non-dropping-particle":"","parse-names":false,"suffix":""}],"edition":"1st","id":"ITEM-2","issued":{"date-parts":[["2023"]]},"title":"Partial Least Squares : Konsep, Teknik, Dan Aplikasi Menggunakan Program SmartPLS 4.0 Untuk Penelitian Empiris","type":"book"},"uris":["http://www.mendeley.com/documents/?uuid=92cf1380-45bc-4744-86f4-fb6177387f68"]}],"mendeley":{"formattedCitation":"(Ghozali &amp; Kusumadewi, 2023; Ghozali &amp; Latan, 2020)","plainTextFormattedCitation":"(Ghozali &amp; Kusumadewi, 2023; Ghozali &amp; Latan, 2020)","previouslyFormattedCitation":"(Ghozali &amp; Kusumadewi, 2023; Ghozali &amp; Latan, 2020)"},"properties":{"noteIndex":0},"schema":"https://github.com/citation-style-language/schema/raw/master/csl-citation.json"}</w:instrText>
      </w:r>
      <w:r w:rsidR="00E06403">
        <w:fldChar w:fldCharType="separate"/>
      </w:r>
      <w:r w:rsidR="00E06403" w:rsidRPr="00E06403">
        <w:rPr>
          <w:noProof/>
        </w:rPr>
        <w:t xml:space="preserve">(Ghozali &amp; Kusumadewi, 2023; Ghozali &amp; </w:t>
      </w:r>
      <w:r w:rsidR="00E06403" w:rsidRPr="00E06403">
        <w:rPr>
          <w:noProof/>
        </w:rPr>
        <w:lastRenderedPageBreak/>
        <w:t>Latan, 2020)</w:t>
      </w:r>
      <w:r w:rsidR="00E06403">
        <w:fldChar w:fldCharType="end"/>
      </w:r>
      <w:r w:rsidRPr="009E52C2">
        <w:t xml:space="preserve">. </w:t>
      </w:r>
      <w:r w:rsidR="004F36EC">
        <w:t>Apabila nilai k</w:t>
      </w:r>
      <w:r w:rsidR="004F36EC" w:rsidRPr="004F36EC">
        <w:t xml:space="preserve">oefisien positif menunjukkan hubungan positif, sementara </w:t>
      </w:r>
      <w:r w:rsidR="004F36EC">
        <w:t xml:space="preserve">nilai </w:t>
      </w:r>
      <w:r w:rsidR="004F36EC" w:rsidRPr="004F36EC">
        <w:t xml:space="preserve">koefisien negatif menunjukkan hubungan </w:t>
      </w:r>
      <w:r w:rsidR="004F36EC">
        <w:t>negatif</w:t>
      </w:r>
      <w:r w:rsidR="00496977">
        <w:t xml:space="preserve"> </w:t>
      </w:r>
      <w:r w:rsidR="00496977">
        <w:fldChar w:fldCharType="begin" w:fldLock="1"/>
      </w:r>
      <w:r w:rsidR="00496977">
        <w:instrText>ADDIN CSL_CITATION {"citationItems":[{"id":"ITEM-1","itemData":{"ISBN":"9786238963355","author":[{"dropping-particle":"","family":"Setiabudhi","given":"Hatta","non-dropping-particle":"","parse-names":false,"suffix":""},{"dropping-particle":"","family":"Suwono","given":"","non-dropping-particle":"","parse-names":false,"suffix":""},{"dropping-particle":"","family":"Setiawan","given":"Yudi Agus","non-dropping-particle":"","parse-names":false,"suffix":""},{"dropping-particle":"","family":"Karim","given":"Syahrul","non-dropping-particle":"","parse-names":false,"suffix":""}],"edition":"1","editor":[{"dropping-particle":"","family":"Duari","given":"I Putu Hardani Hesti","non-dropping-particle":"","parse-names":false,"suffix":""}],"id":"ITEM-1","issued":{"date-parts":[["2025"]]},"number-of-pages":"13","publisher":"Borneo Novelty Publishing","title":"Analisis Data Kuantitatif degan Smart-PLS 4","type":"book"},"uris":["http://www.mendeley.com/documents/?uuid=10d8bd1f-d6d9-43ba-861c-caa12285f19a"]},{"id":"ITEM-2","itemData":{"ISBN":"9786235162133","author":[{"dropping-particle":"","family":"Iba","given":"Zainuddin","non-dropping-particle":"","parse-names":false,"suffix":""},{"dropping-particle":"","family":"Wardhana","given":"Aditya","non-dropping-particle":"","parse-names":false,"suffix":""}],"edition":"1","editor":[{"dropping-particle":"","family":"Pradana","given":"Mahir","non-dropping-particle":"","parse-names":false,"suffix":""}],"id":"ITEM-2","issued":{"date-parts":[["2024"]]},"number-of-pages":"42","publisher":"Eureka Media Aksara","publisher-place":"Jawa Tengah","title":"Riset Manajeen Menggunakan SPSS dan SMART-PLS: Implementasi Pada Manajemen SDM, Pemasaran, Keuangan, Pendidikan, Kesehatan, Pemerintahan, &amp; Kewirausahaan","type":"book"},"uris":["http://www.mendeley.com/documents/?uuid=317cc78a-1cc6-48a5-bc90-d9d8459de9e6"]}],"mendeley":{"formattedCitation":"(Iba &amp; Wardhana, 2024; Setiabudhi et al., 2025)","plainTextFormattedCitation":"(Iba &amp; Wardhana, 2024; Setiabudhi et al., 2025)"},"properties":{"noteIndex":0},"schema":"https://github.com/citation-style-language/schema/raw/master/csl-citation.json"}</w:instrText>
      </w:r>
      <w:r w:rsidR="00496977">
        <w:fldChar w:fldCharType="separate"/>
      </w:r>
      <w:r w:rsidR="00496977" w:rsidRPr="00496977">
        <w:rPr>
          <w:noProof/>
        </w:rPr>
        <w:t xml:space="preserve">(Iba &amp; Wardhana, 2024; Setiabudhi </w:t>
      </w:r>
      <w:r w:rsidR="00496977" w:rsidRPr="00496977">
        <w:rPr>
          <w:i/>
          <w:iCs/>
          <w:noProof/>
        </w:rPr>
        <w:t>et al</w:t>
      </w:r>
      <w:r w:rsidR="00496977" w:rsidRPr="00496977">
        <w:rPr>
          <w:noProof/>
        </w:rPr>
        <w:t>., 2025)</w:t>
      </w:r>
      <w:r w:rsidR="00496977">
        <w:fldChar w:fldCharType="end"/>
      </w:r>
      <w:r w:rsidR="00496977">
        <w:t>.</w:t>
      </w:r>
    </w:p>
    <w:p w14:paraId="531CCF81" w14:textId="72E126D7" w:rsidR="00E519A5" w:rsidRPr="00E519A5" w:rsidRDefault="00E519A5" w:rsidP="00E519A5">
      <w:pPr>
        <w:pStyle w:val="Caption"/>
        <w:keepNext/>
        <w:jc w:val="center"/>
        <w:rPr>
          <w:sz w:val="24"/>
          <w:szCs w:val="24"/>
        </w:rPr>
      </w:pPr>
      <w:r w:rsidRPr="00E519A5">
        <w:rPr>
          <w:sz w:val="24"/>
          <w:szCs w:val="24"/>
        </w:rPr>
        <w:t xml:space="preserve">Tabel </w:t>
      </w:r>
      <w:r w:rsidRPr="00E519A5">
        <w:rPr>
          <w:sz w:val="24"/>
          <w:szCs w:val="24"/>
        </w:rPr>
        <w:fldChar w:fldCharType="begin"/>
      </w:r>
      <w:r w:rsidRPr="00E519A5">
        <w:rPr>
          <w:sz w:val="24"/>
          <w:szCs w:val="24"/>
        </w:rPr>
        <w:instrText xml:space="preserve"> SEQ Tabel \* ARABIC </w:instrText>
      </w:r>
      <w:r w:rsidRPr="00E519A5">
        <w:rPr>
          <w:sz w:val="24"/>
          <w:szCs w:val="24"/>
        </w:rPr>
        <w:fldChar w:fldCharType="separate"/>
      </w:r>
      <w:r w:rsidR="005543C9">
        <w:rPr>
          <w:noProof/>
          <w:sz w:val="24"/>
          <w:szCs w:val="24"/>
        </w:rPr>
        <w:t>12</w:t>
      </w:r>
      <w:r w:rsidRPr="00E519A5">
        <w:rPr>
          <w:sz w:val="24"/>
          <w:szCs w:val="24"/>
        </w:rPr>
        <w:fldChar w:fldCharType="end"/>
      </w:r>
      <w:r w:rsidRPr="00E519A5">
        <w:rPr>
          <w:sz w:val="24"/>
          <w:szCs w:val="24"/>
        </w:rPr>
        <w:t xml:space="preserve"> Uji Hipotesis Penelitian</w:t>
      </w:r>
    </w:p>
    <w:tbl>
      <w:tblPr>
        <w:tblW w:w="7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0"/>
        <w:gridCol w:w="1057"/>
        <w:gridCol w:w="1486"/>
        <w:gridCol w:w="960"/>
      </w:tblGrid>
      <w:tr w:rsidR="00E519A5" w:rsidRPr="009E52C2" w14:paraId="399D3442" w14:textId="77777777" w:rsidTr="004F36EC">
        <w:trPr>
          <w:trHeight w:val="300"/>
          <w:jc w:val="center"/>
        </w:trPr>
        <w:tc>
          <w:tcPr>
            <w:tcW w:w="4240" w:type="dxa"/>
            <w:noWrap/>
            <w:hideMark/>
          </w:tcPr>
          <w:p w14:paraId="678403AB" w14:textId="77777777" w:rsidR="00E519A5" w:rsidRPr="009E52C2" w:rsidRDefault="00E519A5" w:rsidP="00654974">
            <w:pPr>
              <w:spacing w:line="360" w:lineRule="auto"/>
              <w:jc w:val="center"/>
              <w:rPr>
                <w:b/>
                <w:bCs/>
                <w:color w:val="000000"/>
                <w:lang w:val="en-ID" w:eastAsia="en-ID"/>
              </w:rPr>
            </w:pPr>
            <w:r w:rsidRPr="009E52C2">
              <w:rPr>
                <w:b/>
                <w:bCs/>
                <w:color w:val="000000"/>
                <w:lang w:val="en-ID" w:eastAsia="en-ID"/>
              </w:rPr>
              <w:t>Hipotesis</w:t>
            </w:r>
          </w:p>
        </w:tc>
        <w:tc>
          <w:tcPr>
            <w:tcW w:w="1057" w:type="dxa"/>
            <w:noWrap/>
            <w:hideMark/>
          </w:tcPr>
          <w:p w14:paraId="4E8D9262" w14:textId="77777777" w:rsidR="00E519A5" w:rsidRPr="009E52C2" w:rsidRDefault="00E519A5" w:rsidP="00654974">
            <w:pPr>
              <w:spacing w:line="360" w:lineRule="auto"/>
              <w:jc w:val="center"/>
              <w:rPr>
                <w:b/>
                <w:bCs/>
                <w:i/>
                <w:iCs/>
                <w:color w:val="000000"/>
                <w:lang w:val="en-ID" w:eastAsia="en-ID"/>
              </w:rPr>
            </w:pPr>
            <w:r w:rsidRPr="009E52C2">
              <w:rPr>
                <w:b/>
                <w:bCs/>
                <w:i/>
                <w:iCs/>
                <w:color w:val="000000"/>
                <w:lang w:val="en-ID" w:eastAsia="en-ID"/>
              </w:rPr>
              <w:t>Original sample</w:t>
            </w:r>
          </w:p>
        </w:tc>
        <w:tc>
          <w:tcPr>
            <w:tcW w:w="1486" w:type="dxa"/>
            <w:noWrap/>
            <w:hideMark/>
          </w:tcPr>
          <w:p w14:paraId="28359C95" w14:textId="77777777" w:rsidR="00E519A5" w:rsidRPr="009E52C2" w:rsidRDefault="00E519A5" w:rsidP="00654974">
            <w:pPr>
              <w:spacing w:line="360" w:lineRule="auto"/>
              <w:jc w:val="center"/>
              <w:rPr>
                <w:b/>
                <w:bCs/>
                <w:color w:val="000000"/>
                <w:lang w:val="en-ID" w:eastAsia="en-ID"/>
              </w:rPr>
            </w:pPr>
            <w:r w:rsidRPr="009E52C2">
              <w:rPr>
                <w:b/>
                <w:bCs/>
                <w:color w:val="000000"/>
                <w:lang w:val="en-ID" w:eastAsia="en-ID"/>
              </w:rPr>
              <w:t xml:space="preserve">T </w:t>
            </w:r>
            <w:r w:rsidRPr="009E52C2">
              <w:rPr>
                <w:b/>
                <w:bCs/>
                <w:i/>
                <w:iCs/>
                <w:color w:val="000000"/>
                <w:lang w:val="en-ID" w:eastAsia="en-ID"/>
              </w:rPr>
              <w:t>statistics</w:t>
            </w:r>
          </w:p>
        </w:tc>
        <w:tc>
          <w:tcPr>
            <w:tcW w:w="960" w:type="dxa"/>
            <w:noWrap/>
            <w:hideMark/>
          </w:tcPr>
          <w:p w14:paraId="2BC4D7F2" w14:textId="77777777" w:rsidR="00E519A5" w:rsidRPr="009E52C2" w:rsidRDefault="00E519A5" w:rsidP="00654974">
            <w:pPr>
              <w:spacing w:line="360" w:lineRule="auto"/>
              <w:jc w:val="center"/>
              <w:rPr>
                <w:b/>
                <w:bCs/>
                <w:color w:val="000000"/>
                <w:lang w:val="en-ID" w:eastAsia="en-ID"/>
              </w:rPr>
            </w:pPr>
            <w:r w:rsidRPr="009E52C2">
              <w:rPr>
                <w:b/>
                <w:bCs/>
                <w:color w:val="000000"/>
                <w:lang w:val="en-ID" w:eastAsia="en-ID"/>
              </w:rPr>
              <w:t xml:space="preserve">P </w:t>
            </w:r>
            <w:r w:rsidRPr="009E52C2">
              <w:rPr>
                <w:b/>
                <w:bCs/>
                <w:i/>
                <w:iCs/>
                <w:color w:val="000000"/>
                <w:lang w:val="en-ID" w:eastAsia="en-ID"/>
              </w:rPr>
              <w:t>values</w:t>
            </w:r>
          </w:p>
        </w:tc>
      </w:tr>
      <w:tr w:rsidR="00E519A5" w:rsidRPr="009E52C2" w14:paraId="45CD8D4B" w14:textId="77777777" w:rsidTr="004F36EC">
        <w:trPr>
          <w:trHeight w:val="300"/>
          <w:jc w:val="center"/>
        </w:trPr>
        <w:tc>
          <w:tcPr>
            <w:tcW w:w="4240" w:type="dxa"/>
            <w:noWrap/>
            <w:vAlign w:val="bottom"/>
            <w:hideMark/>
          </w:tcPr>
          <w:p w14:paraId="5EEA9D8B" w14:textId="77777777" w:rsidR="00E519A5" w:rsidRPr="009E52C2" w:rsidRDefault="00E519A5" w:rsidP="00654974">
            <w:pPr>
              <w:spacing w:line="360" w:lineRule="auto"/>
              <w:jc w:val="both"/>
              <w:rPr>
                <w:color w:val="000000"/>
                <w:lang w:val="en-ID" w:eastAsia="en-ID"/>
              </w:rPr>
            </w:pPr>
            <w:r w:rsidRPr="009E52C2">
              <w:rPr>
                <w:color w:val="000000"/>
                <w:lang w:val="en-ID" w:eastAsia="en-ID"/>
              </w:rPr>
              <w:t xml:space="preserve">Speliasis Industri Auditor -&gt; </w:t>
            </w:r>
            <w:r w:rsidRPr="009E52C2">
              <w:rPr>
                <w:i/>
                <w:color w:val="000000"/>
                <w:lang w:val="en-ID" w:eastAsia="en-ID"/>
              </w:rPr>
              <w:t>Tax evasion</w:t>
            </w:r>
          </w:p>
        </w:tc>
        <w:tc>
          <w:tcPr>
            <w:tcW w:w="1057" w:type="dxa"/>
            <w:noWrap/>
            <w:vAlign w:val="bottom"/>
            <w:hideMark/>
          </w:tcPr>
          <w:p w14:paraId="69AAC7F8" w14:textId="77777777" w:rsidR="00E519A5" w:rsidRPr="009E52C2" w:rsidRDefault="00E519A5" w:rsidP="00654974">
            <w:pPr>
              <w:spacing w:line="360" w:lineRule="auto"/>
              <w:jc w:val="both"/>
              <w:rPr>
                <w:color w:val="000000"/>
                <w:lang w:val="en-ID" w:eastAsia="en-ID"/>
              </w:rPr>
            </w:pPr>
            <w:r w:rsidRPr="009E52C2">
              <w:rPr>
                <w:color w:val="000000"/>
                <w:lang w:val="en-ID" w:eastAsia="en-ID"/>
              </w:rPr>
              <w:t>-0,</w:t>
            </w:r>
            <w:r>
              <w:rPr>
                <w:color w:val="000000"/>
                <w:lang w:val="en-ID" w:eastAsia="en-ID"/>
              </w:rPr>
              <w:t>645</w:t>
            </w:r>
          </w:p>
        </w:tc>
        <w:tc>
          <w:tcPr>
            <w:tcW w:w="1486" w:type="dxa"/>
            <w:noWrap/>
            <w:vAlign w:val="bottom"/>
            <w:hideMark/>
          </w:tcPr>
          <w:p w14:paraId="57C65334" w14:textId="77777777" w:rsidR="00E519A5" w:rsidRPr="009E52C2" w:rsidRDefault="00E519A5" w:rsidP="00654974">
            <w:pPr>
              <w:spacing w:line="360" w:lineRule="auto"/>
              <w:jc w:val="both"/>
              <w:rPr>
                <w:color w:val="000000"/>
                <w:lang w:val="en-ID" w:eastAsia="en-ID"/>
              </w:rPr>
            </w:pPr>
            <w:r>
              <w:rPr>
                <w:color w:val="000000"/>
                <w:lang w:val="en-ID" w:eastAsia="en-ID"/>
              </w:rPr>
              <w:t>3</w:t>
            </w:r>
            <w:r w:rsidRPr="009E52C2">
              <w:rPr>
                <w:color w:val="000000"/>
                <w:lang w:val="en-ID" w:eastAsia="en-ID"/>
              </w:rPr>
              <w:t>,</w:t>
            </w:r>
            <w:r>
              <w:rPr>
                <w:color w:val="000000"/>
                <w:lang w:val="en-ID" w:eastAsia="en-ID"/>
              </w:rPr>
              <w:t>208</w:t>
            </w:r>
          </w:p>
        </w:tc>
        <w:tc>
          <w:tcPr>
            <w:tcW w:w="960" w:type="dxa"/>
            <w:noWrap/>
            <w:vAlign w:val="bottom"/>
            <w:hideMark/>
          </w:tcPr>
          <w:p w14:paraId="6E72D11F" w14:textId="77777777" w:rsidR="00E519A5" w:rsidRPr="009E52C2" w:rsidRDefault="00E519A5" w:rsidP="00654974">
            <w:pPr>
              <w:spacing w:line="360" w:lineRule="auto"/>
              <w:jc w:val="both"/>
              <w:rPr>
                <w:color w:val="000000"/>
                <w:lang w:val="en-ID" w:eastAsia="en-ID"/>
              </w:rPr>
            </w:pPr>
            <w:r w:rsidRPr="009E52C2">
              <w:rPr>
                <w:color w:val="000000"/>
                <w:lang w:val="en-ID" w:eastAsia="en-ID"/>
              </w:rPr>
              <w:t>0,0</w:t>
            </w:r>
            <w:r>
              <w:rPr>
                <w:color w:val="000000"/>
                <w:lang w:val="en-ID" w:eastAsia="en-ID"/>
              </w:rPr>
              <w:t>01</w:t>
            </w:r>
          </w:p>
        </w:tc>
      </w:tr>
      <w:tr w:rsidR="00E519A5" w:rsidRPr="009E52C2" w14:paraId="1E5C6B26" w14:textId="77777777" w:rsidTr="004F36EC">
        <w:trPr>
          <w:trHeight w:val="300"/>
          <w:jc w:val="center"/>
        </w:trPr>
        <w:tc>
          <w:tcPr>
            <w:tcW w:w="4240" w:type="dxa"/>
            <w:noWrap/>
            <w:vAlign w:val="bottom"/>
            <w:hideMark/>
          </w:tcPr>
          <w:p w14:paraId="79B259F9" w14:textId="77777777" w:rsidR="00E519A5" w:rsidRPr="009E52C2" w:rsidRDefault="00E519A5" w:rsidP="00654974">
            <w:pPr>
              <w:spacing w:line="360" w:lineRule="auto"/>
              <w:jc w:val="both"/>
              <w:rPr>
                <w:color w:val="000000"/>
                <w:lang w:val="en-ID" w:eastAsia="en-ID"/>
              </w:rPr>
            </w:pPr>
            <w:r w:rsidRPr="009E52C2">
              <w:rPr>
                <w:i/>
                <w:color w:val="000000"/>
                <w:lang w:val="en-ID" w:eastAsia="en-ID"/>
              </w:rPr>
              <w:t>Audit fee</w:t>
            </w:r>
            <w:r w:rsidRPr="009E52C2">
              <w:rPr>
                <w:color w:val="000000"/>
                <w:lang w:val="en-ID" w:eastAsia="en-ID"/>
              </w:rPr>
              <w:t xml:space="preserve"> -&gt; </w:t>
            </w:r>
            <w:r w:rsidRPr="009E52C2">
              <w:rPr>
                <w:i/>
                <w:color w:val="000000"/>
                <w:lang w:val="en-ID" w:eastAsia="en-ID"/>
              </w:rPr>
              <w:t>Tax evasion</w:t>
            </w:r>
          </w:p>
        </w:tc>
        <w:tc>
          <w:tcPr>
            <w:tcW w:w="1057" w:type="dxa"/>
            <w:noWrap/>
            <w:vAlign w:val="bottom"/>
            <w:hideMark/>
          </w:tcPr>
          <w:p w14:paraId="4A329C98" w14:textId="77777777" w:rsidR="00E519A5" w:rsidRPr="009E52C2" w:rsidRDefault="00E519A5" w:rsidP="00654974">
            <w:pPr>
              <w:spacing w:line="360" w:lineRule="auto"/>
              <w:jc w:val="both"/>
              <w:rPr>
                <w:color w:val="000000"/>
                <w:lang w:val="en-ID" w:eastAsia="en-ID"/>
              </w:rPr>
            </w:pPr>
            <w:r w:rsidRPr="009E52C2">
              <w:rPr>
                <w:color w:val="000000"/>
                <w:lang w:val="en-ID" w:eastAsia="en-ID"/>
              </w:rPr>
              <w:t>0,</w:t>
            </w:r>
            <w:r>
              <w:rPr>
                <w:color w:val="000000"/>
                <w:lang w:val="en-ID" w:eastAsia="en-ID"/>
              </w:rPr>
              <w:t>121</w:t>
            </w:r>
          </w:p>
        </w:tc>
        <w:tc>
          <w:tcPr>
            <w:tcW w:w="1486" w:type="dxa"/>
            <w:noWrap/>
            <w:vAlign w:val="bottom"/>
            <w:hideMark/>
          </w:tcPr>
          <w:p w14:paraId="12AE45DE" w14:textId="77777777" w:rsidR="00E519A5" w:rsidRPr="009E52C2" w:rsidRDefault="00E519A5" w:rsidP="00654974">
            <w:pPr>
              <w:spacing w:line="360" w:lineRule="auto"/>
              <w:jc w:val="both"/>
              <w:rPr>
                <w:color w:val="000000"/>
                <w:lang w:val="en-ID" w:eastAsia="en-ID"/>
              </w:rPr>
            </w:pPr>
            <w:r w:rsidRPr="009E52C2">
              <w:rPr>
                <w:color w:val="000000"/>
                <w:lang w:val="en-ID" w:eastAsia="en-ID"/>
              </w:rPr>
              <w:t>0,</w:t>
            </w:r>
            <w:r>
              <w:rPr>
                <w:color w:val="000000"/>
                <w:lang w:val="en-ID" w:eastAsia="en-ID"/>
              </w:rPr>
              <w:t>794</w:t>
            </w:r>
          </w:p>
        </w:tc>
        <w:tc>
          <w:tcPr>
            <w:tcW w:w="960" w:type="dxa"/>
            <w:noWrap/>
            <w:vAlign w:val="bottom"/>
            <w:hideMark/>
          </w:tcPr>
          <w:p w14:paraId="42BB1689" w14:textId="77777777" w:rsidR="00E519A5" w:rsidRPr="009E52C2" w:rsidRDefault="00E519A5" w:rsidP="00654974">
            <w:pPr>
              <w:spacing w:line="360" w:lineRule="auto"/>
              <w:jc w:val="both"/>
              <w:rPr>
                <w:color w:val="000000"/>
                <w:lang w:val="en-ID" w:eastAsia="en-ID"/>
              </w:rPr>
            </w:pPr>
            <w:r w:rsidRPr="009E52C2">
              <w:rPr>
                <w:color w:val="000000"/>
                <w:lang w:val="en-ID" w:eastAsia="en-ID"/>
              </w:rPr>
              <w:t>0,</w:t>
            </w:r>
            <w:r>
              <w:rPr>
                <w:color w:val="000000"/>
                <w:lang w:val="en-ID" w:eastAsia="en-ID"/>
              </w:rPr>
              <w:t>427</w:t>
            </w:r>
          </w:p>
        </w:tc>
      </w:tr>
      <w:tr w:rsidR="00E519A5" w:rsidRPr="009E52C2" w14:paraId="74A34804" w14:textId="77777777" w:rsidTr="004F36EC">
        <w:trPr>
          <w:trHeight w:val="300"/>
          <w:jc w:val="center"/>
        </w:trPr>
        <w:tc>
          <w:tcPr>
            <w:tcW w:w="4240" w:type="dxa"/>
            <w:noWrap/>
            <w:vAlign w:val="bottom"/>
            <w:hideMark/>
          </w:tcPr>
          <w:p w14:paraId="5A87616D" w14:textId="77777777" w:rsidR="00E519A5" w:rsidRPr="009E52C2" w:rsidRDefault="00E519A5" w:rsidP="00654974">
            <w:pPr>
              <w:spacing w:line="360" w:lineRule="auto"/>
              <w:jc w:val="both"/>
              <w:rPr>
                <w:color w:val="000000"/>
                <w:lang w:val="en-ID" w:eastAsia="en-ID"/>
              </w:rPr>
            </w:pPr>
            <w:r w:rsidRPr="009E52C2">
              <w:rPr>
                <w:i/>
                <w:color w:val="000000"/>
                <w:lang w:val="en-ID" w:eastAsia="en-ID"/>
              </w:rPr>
              <w:t>Audit tenure</w:t>
            </w:r>
            <w:r w:rsidRPr="009E52C2">
              <w:rPr>
                <w:color w:val="000000"/>
                <w:lang w:val="en-ID" w:eastAsia="en-ID"/>
              </w:rPr>
              <w:t xml:space="preserve"> -&gt; </w:t>
            </w:r>
            <w:r w:rsidRPr="009E52C2">
              <w:rPr>
                <w:i/>
                <w:color w:val="000000"/>
                <w:lang w:val="en-ID" w:eastAsia="en-ID"/>
              </w:rPr>
              <w:t>Tax evasion</w:t>
            </w:r>
          </w:p>
        </w:tc>
        <w:tc>
          <w:tcPr>
            <w:tcW w:w="1057" w:type="dxa"/>
            <w:noWrap/>
            <w:vAlign w:val="bottom"/>
            <w:hideMark/>
          </w:tcPr>
          <w:p w14:paraId="16B17D86" w14:textId="77777777" w:rsidR="00E519A5" w:rsidRPr="009E52C2" w:rsidRDefault="00E519A5" w:rsidP="00654974">
            <w:pPr>
              <w:spacing w:line="360" w:lineRule="auto"/>
              <w:jc w:val="both"/>
              <w:rPr>
                <w:color w:val="000000"/>
                <w:lang w:val="en-ID" w:eastAsia="en-ID"/>
              </w:rPr>
            </w:pPr>
            <w:r>
              <w:rPr>
                <w:color w:val="000000"/>
                <w:lang w:val="en-ID" w:eastAsia="en-ID"/>
              </w:rPr>
              <w:t>-</w:t>
            </w:r>
            <w:r w:rsidRPr="009E52C2">
              <w:rPr>
                <w:color w:val="000000"/>
                <w:lang w:val="en-ID" w:eastAsia="en-ID"/>
              </w:rPr>
              <w:t>0,</w:t>
            </w:r>
            <w:r>
              <w:rPr>
                <w:color w:val="000000"/>
                <w:lang w:val="en-ID" w:eastAsia="en-ID"/>
              </w:rPr>
              <w:t>063</w:t>
            </w:r>
          </w:p>
        </w:tc>
        <w:tc>
          <w:tcPr>
            <w:tcW w:w="1486" w:type="dxa"/>
            <w:noWrap/>
            <w:vAlign w:val="bottom"/>
            <w:hideMark/>
          </w:tcPr>
          <w:p w14:paraId="322938E0" w14:textId="77777777" w:rsidR="00E519A5" w:rsidRPr="009E52C2" w:rsidRDefault="00E519A5" w:rsidP="00654974">
            <w:pPr>
              <w:spacing w:line="360" w:lineRule="auto"/>
              <w:jc w:val="both"/>
              <w:rPr>
                <w:color w:val="000000"/>
                <w:lang w:val="en-ID" w:eastAsia="en-ID"/>
              </w:rPr>
            </w:pPr>
            <w:r>
              <w:rPr>
                <w:color w:val="000000"/>
                <w:lang w:val="en-ID" w:eastAsia="en-ID"/>
              </w:rPr>
              <w:t>0,611</w:t>
            </w:r>
          </w:p>
        </w:tc>
        <w:tc>
          <w:tcPr>
            <w:tcW w:w="960" w:type="dxa"/>
            <w:noWrap/>
            <w:vAlign w:val="bottom"/>
            <w:hideMark/>
          </w:tcPr>
          <w:p w14:paraId="7277AFE1" w14:textId="77777777" w:rsidR="00E519A5" w:rsidRPr="009E52C2" w:rsidRDefault="00E519A5" w:rsidP="00654974">
            <w:pPr>
              <w:spacing w:line="360" w:lineRule="auto"/>
              <w:jc w:val="both"/>
              <w:rPr>
                <w:color w:val="000000"/>
                <w:lang w:val="en-ID" w:eastAsia="en-ID"/>
              </w:rPr>
            </w:pPr>
            <w:r w:rsidRPr="009E52C2">
              <w:rPr>
                <w:color w:val="000000"/>
                <w:lang w:val="en-ID" w:eastAsia="en-ID"/>
              </w:rPr>
              <w:t>0,</w:t>
            </w:r>
            <w:r>
              <w:rPr>
                <w:color w:val="000000"/>
                <w:lang w:val="en-ID" w:eastAsia="en-ID"/>
              </w:rPr>
              <w:t>541</w:t>
            </w:r>
          </w:p>
        </w:tc>
      </w:tr>
    </w:tbl>
    <w:p w14:paraId="21738362" w14:textId="109D06B3" w:rsidR="00E519A5" w:rsidRPr="00957EFE" w:rsidRDefault="004F36EC" w:rsidP="004F36EC">
      <w:pPr>
        <w:tabs>
          <w:tab w:val="left" w:pos="2127"/>
        </w:tabs>
        <w:spacing w:after="240"/>
        <w:jc w:val="both"/>
      </w:pPr>
      <w:r>
        <w:t xml:space="preserve">Sumber: </w:t>
      </w:r>
      <w:r w:rsidRPr="009E52C2">
        <w:rPr>
          <w:noProof/>
        </w:rPr>
        <w:t>Hasil Olah Data Penelitian (202</w:t>
      </w:r>
      <w:r>
        <w:rPr>
          <w:noProof/>
        </w:rPr>
        <w:t>6</w:t>
      </w:r>
      <w:r w:rsidRPr="009E52C2">
        <w:rPr>
          <w:noProof/>
        </w:rPr>
        <w:t>)</w:t>
      </w:r>
    </w:p>
    <w:p w14:paraId="15526DF1" w14:textId="3B1025AA" w:rsidR="00AB3B09" w:rsidRDefault="00AB3B09" w:rsidP="00F4159D">
      <w:pPr>
        <w:tabs>
          <w:tab w:val="left" w:pos="2127"/>
        </w:tabs>
        <w:jc w:val="both"/>
        <w:rPr>
          <w:b/>
          <w:bCs/>
        </w:rPr>
      </w:pPr>
      <w:r w:rsidRPr="00AB3B09">
        <w:rPr>
          <w:b/>
          <w:bCs/>
        </w:rPr>
        <w:t>Diskusi Hasil</w:t>
      </w:r>
    </w:p>
    <w:p w14:paraId="375A5A23" w14:textId="77777777" w:rsidR="00AB3B09" w:rsidRPr="00AB3B09" w:rsidRDefault="00AB3B09" w:rsidP="00F91D99">
      <w:pPr>
        <w:tabs>
          <w:tab w:val="left" w:pos="2127"/>
        </w:tabs>
        <w:spacing w:after="80"/>
        <w:ind w:firstLine="709"/>
        <w:jc w:val="both"/>
      </w:pPr>
      <w:r w:rsidRPr="00AB3B09">
        <w:t xml:space="preserve">Hasil pengujian menunjukkan bahwa spesialisasi industri auditor memiliki pengaruh negatif dan signifikan terhadap </w:t>
      </w:r>
      <w:r w:rsidRPr="00AB3B09">
        <w:rPr>
          <w:i/>
          <w:iCs/>
        </w:rPr>
        <w:t>tax</w:t>
      </w:r>
      <w:r w:rsidRPr="00AB3B09">
        <w:t xml:space="preserve"> </w:t>
      </w:r>
      <w:r w:rsidRPr="00AB3B09">
        <w:rPr>
          <w:i/>
          <w:iCs/>
        </w:rPr>
        <w:t>evasion</w:t>
      </w:r>
      <w:r w:rsidRPr="00AB3B09">
        <w:t xml:space="preserve">. Temuan ini menunjukkan bahwa auditor yang memiliki keahlian dan pengalaman khusus dalam industri tertentu mampu meningkatkan kualitas pengawasan terhadap laporan keuangan perusahaan. Auditor spesialis dinilai memiliki pemahaman yang lebih mendalam mengenai karakteristik bisnis, risiko operasional, serta praktik akuntansi pada industri klien sehingga lebih mampu mendeteksi indikasi manipulasi laporan keuangan yang berkaitan dengan praktik penggelapan pajak. Dalam perspektif teori keagenan, auditor spesialis juga berperan sebagai mekanisme </w:t>
      </w:r>
      <w:r w:rsidRPr="00AB3B09">
        <w:rPr>
          <w:i/>
          <w:iCs/>
        </w:rPr>
        <w:t>monitoring</w:t>
      </w:r>
      <w:r w:rsidRPr="00AB3B09">
        <w:t xml:space="preserve"> eksternal yang efektif dalam mengurangi asimetri informasi antara manajemen dan pemilik perusahaan. Dengan kemampuan tersebut, auditor dapat lebih mudah mengidentifikasi strategi perpajakan yang berpotensi melanggar regulasi sehingga dapat menekan praktik </w:t>
      </w:r>
      <w:r w:rsidRPr="00AB3B09">
        <w:rPr>
          <w:i/>
          <w:iCs/>
        </w:rPr>
        <w:t>tax</w:t>
      </w:r>
      <w:r w:rsidRPr="00AB3B09">
        <w:t xml:space="preserve"> </w:t>
      </w:r>
      <w:r w:rsidRPr="00AB3B09">
        <w:rPr>
          <w:i/>
          <w:iCs/>
        </w:rPr>
        <w:t>evasion</w:t>
      </w:r>
      <w:r w:rsidRPr="00AB3B09">
        <w:t xml:space="preserve">. Oleh karena itu, </w:t>
      </w:r>
      <w:r w:rsidRPr="00AB3B09">
        <w:rPr>
          <w:b/>
          <w:bCs/>
        </w:rPr>
        <w:t>hipotesis pertama (H1) diterima</w:t>
      </w:r>
      <w:r w:rsidRPr="00AB3B09">
        <w:t xml:space="preserve">. </w:t>
      </w:r>
    </w:p>
    <w:p w14:paraId="6D602105" w14:textId="77777777" w:rsidR="00AB3B09" w:rsidRPr="00AB3B09" w:rsidRDefault="00AB3B09" w:rsidP="00F91D99">
      <w:pPr>
        <w:tabs>
          <w:tab w:val="left" w:pos="2127"/>
        </w:tabs>
        <w:spacing w:after="80"/>
        <w:ind w:firstLine="709"/>
        <w:jc w:val="both"/>
      </w:pPr>
      <w:r w:rsidRPr="00AB3B09">
        <w:t xml:space="preserve">Hasil pengujian selanjutnya menunjukkan bahwa </w:t>
      </w:r>
      <w:r w:rsidRPr="00AB3B09">
        <w:rPr>
          <w:i/>
          <w:iCs/>
        </w:rPr>
        <w:t>audit</w:t>
      </w:r>
      <w:r w:rsidRPr="00AB3B09">
        <w:t xml:space="preserve"> </w:t>
      </w:r>
      <w:r w:rsidRPr="00AB3B09">
        <w:rPr>
          <w:i/>
          <w:iCs/>
        </w:rPr>
        <w:t>fee</w:t>
      </w:r>
      <w:r w:rsidRPr="00AB3B09">
        <w:t xml:space="preserve"> tidak berpengaruh signifikan terhadap </w:t>
      </w:r>
      <w:r w:rsidRPr="00AB3B09">
        <w:rPr>
          <w:i/>
          <w:iCs/>
        </w:rPr>
        <w:t>tax</w:t>
      </w:r>
      <w:r w:rsidRPr="00AB3B09">
        <w:t xml:space="preserve"> </w:t>
      </w:r>
      <w:r w:rsidRPr="00AB3B09">
        <w:rPr>
          <w:i/>
          <w:iCs/>
        </w:rPr>
        <w:t>evasion</w:t>
      </w:r>
      <w:r w:rsidRPr="00AB3B09">
        <w:t xml:space="preserve">. Temuan ini mengindikasikan bahwa besarnya biaya audit yang dibayarkan perusahaan tidak secara langsung menentukan kemampuan auditor dalam mendeteksi atau menekan praktik penggelapan pajak. Meskipun secara teoritis </w:t>
      </w:r>
      <w:r w:rsidRPr="00AB3B09">
        <w:rPr>
          <w:i/>
          <w:iCs/>
        </w:rPr>
        <w:t>audit</w:t>
      </w:r>
      <w:r w:rsidRPr="00AB3B09">
        <w:t xml:space="preserve"> </w:t>
      </w:r>
      <w:r w:rsidRPr="00AB3B09">
        <w:rPr>
          <w:i/>
          <w:iCs/>
        </w:rPr>
        <w:t>fee</w:t>
      </w:r>
      <w:r w:rsidRPr="00AB3B09">
        <w:t xml:space="preserve"> yang lebih tinggi diharapkan mencerminkan prosedur audit yang lebih luas dan mendalam, dalam praktiknya auditor tetap menjalankan proses audit berdasarkan standar profesional yang sama sehingga peningkatan biaya audit tidak selalu diikuti dengan peningkatan intensitas pemeriksaan terhadap aspek perpajakan perusahaan. Selain itu, praktik </w:t>
      </w:r>
      <w:r w:rsidRPr="00AB3B09">
        <w:rPr>
          <w:i/>
          <w:iCs/>
        </w:rPr>
        <w:t>tax</w:t>
      </w:r>
      <w:r w:rsidRPr="00AB3B09">
        <w:t xml:space="preserve"> </w:t>
      </w:r>
      <w:r w:rsidRPr="00AB3B09">
        <w:rPr>
          <w:i/>
          <w:iCs/>
        </w:rPr>
        <w:t>evasion</w:t>
      </w:r>
      <w:r w:rsidRPr="00AB3B09">
        <w:t xml:space="preserve"> sering kali melibatkan skema yang kompleks dan berada di luar ruang lingkup audit laporan keuangan secara langsung. Kondisi tersebut menyebabkan besarnya </w:t>
      </w:r>
      <w:r w:rsidRPr="00AB3B09">
        <w:rPr>
          <w:i/>
          <w:iCs/>
        </w:rPr>
        <w:t>audit</w:t>
      </w:r>
      <w:r w:rsidRPr="00AB3B09">
        <w:t xml:space="preserve"> </w:t>
      </w:r>
      <w:r w:rsidRPr="00AB3B09">
        <w:rPr>
          <w:i/>
          <w:iCs/>
        </w:rPr>
        <w:t>fee</w:t>
      </w:r>
      <w:r w:rsidRPr="00AB3B09">
        <w:t xml:space="preserve"> tidak menjadi faktor utama yang memengaruhi praktik </w:t>
      </w:r>
      <w:r w:rsidRPr="00AB3B09">
        <w:rPr>
          <w:i/>
          <w:iCs/>
        </w:rPr>
        <w:t>tax</w:t>
      </w:r>
      <w:r w:rsidRPr="00AB3B09">
        <w:t xml:space="preserve"> </w:t>
      </w:r>
      <w:r w:rsidRPr="00AB3B09">
        <w:rPr>
          <w:i/>
          <w:iCs/>
        </w:rPr>
        <w:t>evasion</w:t>
      </w:r>
      <w:r w:rsidRPr="00AB3B09">
        <w:t xml:space="preserve"> perusahaan. Oleh karena itu, </w:t>
      </w:r>
      <w:r w:rsidRPr="00AB3B09">
        <w:rPr>
          <w:b/>
          <w:bCs/>
        </w:rPr>
        <w:t>hipotesis kedua (H2) ditolak</w:t>
      </w:r>
      <w:r w:rsidRPr="00AB3B09">
        <w:t xml:space="preserve">. </w:t>
      </w:r>
    </w:p>
    <w:p w14:paraId="0DB37B04" w14:textId="7F073B40" w:rsidR="00AB3B09" w:rsidRPr="00AB3B09" w:rsidRDefault="00AB3B09" w:rsidP="00E06403">
      <w:pPr>
        <w:tabs>
          <w:tab w:val="left" w:pos="2127"/>
        </w:tabs>
        <w:spacing w:after="360"/>
        <w:ind w:firstLine="709"/>
        <w:jc w:val="both"/>
      </w:pPr>
      <w:r w:rsidRPr="00AB3B09">
        <w:t xml:space="preserve">Hasil pengujian juga menunjukkan bahwa </w:t>
      </w:r>
      <w:r w:rsidRPr="00AB3B09">
        <w:rPr>
          <w:i/>
          <w:iCs/>
        </w:rPr>
        <w:t>audit</w:t>
      </w:r>
      <w:r w:rsidRPr="00AB3B09">
        <w:t xml:space="preserve"> </w:t>
      </w:r>
      <w:r w:rsidRPr="00AB3B09">
        <w:rPr>
          <w:i/>
          <w:iCs/>
        </w:rPr>
        <w:t>tenure</w:t>
      </w:r>
      <w:r w:rsidRPr="00AB3B09">
        <w:t xml:space="preserve"> tidak memiliki pengaruh signifikan terhadap </w:t>
      </w:r>
      <w:r w:rsidRPr="00AB3B09">
        <w:rPr>
          <w:i/>
          <w:iCs/>
        </w:rPr>
        <w:t>tax</w:t>
      </w:r>
      <w:r w:rsidRPr="00AB3B09">
        <w:t xml:space="preserve"> </w:t>
      </w:r>
      <w:r w:rsidRPr="00AB3B09">
        <w:rPr>
          <w:i/>
          <w:iCs/>
        </w:rPr>
        <w:t>evasion</w:t>
      </w:r>
      <w:r w:rsidRPr="00AB3B09">
        <w:t xml:space="preserve">. Secara teoritis, hubungan kerja yang lebih lama antara auditor dan klien dapat memberikan manfaat berupa pemahaman yang lebih baik terhadap sistem operasional dan risiko perusahaan, sehingga auditor diharapkan mampu meningkatkan efektivitas pengawasan. Namun, hubungan jangka panjang juga berpotensi menimbulkan </w:t>
      </w:r>
      <w:r w:rsidRPr="00AB3B09">
        <w:rPr>
          <w:i/>
          <w:iCs/>
        </w:rPr>
        <w:t>familiarity</w:t>
      </w:r>
      <w:r w:rsidRPr="00AB3B09">
        <w:t xml:space="preserve"> </w:t>
      </w:r>
      <w:r w:rsidRPr="00AB3B09">
        <w:rPr>
          <w:i/>
          <w:iCs/>
        </w:rPr>
        <w:t>threat</w:t>
      </w:r>
      <w:r w:rsidRPr="00AB3B09">
        <w:t xml:space="preserve"> yang dapat menurunkan independensi serta skeptisisme profesional auditor. Kondisi ini menyebabkan manfaat dari pemahaman auditor terhadap klien tidak selalu diikuti dengan peningkatan kemampuan dalam mendeteksi praktik penggelapan pajak. Selain itu, regulasi mengenai pembatasan masa kerja auditor juga bertujuan untuk menjaga independensi auditor sehingga hubungan jangka panjang tidak </w:t>
      </w:r>
      <w:r w:rsidRPr="00AB3B09">
        <w:lastRenderedPageBreak/>
        <w:t xml:space="preserve">selalu menjadi faktor yang menentukan dalam mendeteksi </w:t>
      </w:r>
      <w:r w:rsidRPr="00AB3B09">
        <w:rPr>
          <w:i/>
          <w:iCs/>
        </w:rPr>
        <w:t>tax</w:t>
      </w:r>
      <w:r w:rsidRPr="00AB3B09">
        <w:t xml:space="preserve"> </w:t>
      </w:r>
      <w:r w:rsidRPr="00AB3B09">
        <w:rPr>
          <w:i/>
          <w:iCs/>
        </w:rPr>
        <w:t>evasion</w:t>
      </w:r>
      <w:r w:rsidRPr="00AB3B09">
        <w:t xml:space="preserve">. Oleh karena itu, </w:t>
      </w:r>
      <w:r w:rsidRPr="00AB3B09">
        <w:rPr>
          <w:b/>
          <w:bCs/>
        </w:rPr>
        <w:t>hipotesis ketiga (H3) ditolak</w:t>
      </w:r>
      <w:r w:rsidRPr="00AB3B09">
        <w:t>.</w:t>
      </w:r>
    </w:p>
    <w:p w14:paraId="5F9E1CF1" w14:textId="77777777" w:rsidR="007B3B70" w:rsidRPr="0044421A" w:rsidRDefault="007B3B70" w:rsidP="00496977">
      <w:pPr>
        <w:pStyle w:val="Heading1"/>
        <w:spacing w:line="240" w:lineRule="auto"/>
        <w:jc w:val="both"/>
      </w:pPr>
      <w:r w:rsidRPr="0044421A">
        <w:t xml:space="preserve">KESIMPULAN </w:t>
      </w:r>
    </w:p>
    <w:p w14:paraId="51B12979" w14:textId="77777777" w:rsidR="00F4159D" w:rsidRDefault="00F4159D" w:rsidP="00F91D99">
      <w:pPr>
        <w:spacing w:after="80"/>
        <w:ind w:firstLine="709"/>
        <w:jc w:val="both"/>
        <w:rPr>
          <w:bCs/>
        </w:rPr>
      </w:pPr>
      <w:r w:rsidRPr="00F4159D">
        <w:rPr>
          <w:bCs/>
        </w:rPr>
        <w:t xml:space="preserve">Berdasarkan hasil analisis dan pengujian hipotesis, penelitian ini menunjukkan bahwa spesialisasi industri auditor berpengaruh negatif dan signifikan terhadap </w:t>
      </w:r>
      <w:r w:rsidRPr="00496977">
        <w:rPr>
          <w:bCs/>
          <w:i/>
          <w:iCs/>
        </w:rPr>
        <w:t>tax</w:t>
      </w:r>
      <w:r w:rsidRPr="00F4159D">
        <w:rPr>
          <w:bCs/>
        </w:rPr>
        <w:t xml:space="preserve"> </w:t>
      </w:r>
      <w:r w:rsidRPr="00496977">
        <w:rPr>
          <w:bCs/>
          <w:i/>
          <w:iCs/>
        </w:rPr>
        <w:t>evasion</w:t>
      </w:r>
      <w:r w:rsidRPr="00F4159D">
        <w:rPr>
          <w:bCs/>
        </w:rPr>
        <w:t xml:space="preserve">. Hal ini menunjukkan bahwa auditor yang memiliki keahlian khusus dalam suatu industri mampu meningkatkan kualitas pengawasan serta lebih efektif dalam mendeteksi indikasi manipulasi laporan keuangan yang berkaitan dengan praktik penggelapan pajak. Sebaliknya, </w:t>
      </w:r>
      <w:r w:rsidRPr="00496977">
        <w:rPr>
          <w:bCs/>
          <w:i/>
          <w:iCs/>
        </w:rPr>
        <w:t>audit</w:t>
      </w:r>
      <w:r w:rsidRPr="00F4159D">
        <w:rPr>
          <w:bCs/>
        </w:rPr>
        <w:t xml:space="preserve"> </w:t>
      </w:r>
      <w:r w:rsidRPr="00496977">
        <w:rPr>
          <w:bCs/>
          <w:i/>
          <w:iCs/>
        </w:rPr>
        <w:t>fee</w:t>
      </w:r>
      <w:r w:rsidRPr="00F4159D">
        <w:rPr>
          <w:bCs/>
        </w:rPr>
        <w:t xml:space="preserve"> dan </w:t>
      </w:r>
      <w:r w:rsidRPr="00496977">
        <w:rPr>
          <w:bCs/>
          <w:i/>
          <w:iCs/>
        </w:rPr>
        <w:t>audit</w:t>
      </w:r>
      <w:r w:rsidRPr="00F4159D">
        <w:rPr>
          <w:bCs/>
        </w:rPr>
        <w:t xml:space="preserve"> </w:t>
      </w:r>
      <w:r w:rsidRPr="00496977">
        <w:rPr>
          <w:bCs/>
          <w:i/>
          <w:iCs/>
        </w:rPr>
        <w:t>tenure</w:t>
      </w:r>
      <w:r w:rsidRPr="00F4159D">
        <w:rPr>
          <w:bCs/>
        </w:rPr>
        <w:t xml:space="preserve"> tidak menunjukkan pengaruh yang signifikan terhadap </w:t>
      </w:r>
      <w:r w:rsidRPr="00496977">
        <w:rPr>
          <w:bCs/>
          <w:i/>
          <w:iCs/>
        </w:rPr>
        <w:t>tax</w:t>
      </w:r>
      <w:r w:rsidRPr="00F4159D">
        <w:rPr>
          <w:bCs/>
        </w:rPr>
        <w:t xml:space="preserve"> </w:t>
      </w:r>
      <w:r w:rsidRPr="00496977">
        <w:rPr>
          <w:bCs/>
          <w:i/>
          <w:iCs/>
        </w:rPr>
        <w:t>evasion</w:t>
      </w:r>
      <w:r w:rsidRPr="00F4159D">
        <w:rPr>
          <w:bCs/>
        </w:rPr>
        <w:t>, yang mengindikasikan bahwa besarnya biaya audit maupun lamanya hubungan kerja antara auditor dan klien belum tentu meningkatkan kemampuan auditor dalam menekan praktik penggelapan pajak pada perusahaan sektor energi yang terdaftar di Bursa Efek Indonesia.</w:t>
      </w:r>
    </w:p>
    <w:p w14:paraId="38E3AECB" w14:textId="11B56B67" w:rsidR="00F4159D" w:rsidRDefault="00F4159D" w:rsidP="00F91D99">
      <w:pPr>
        <w:spacing w:after="80"/>
        <w:ind w:firstLine="709"/>
        <w:jc w:val="both"/>
        <w:rPr>
          <w:bCs/>
        </w:rPr>
      </w:pPr>
      <w:r w:rsidRPr="00F4159D">
        <w:rPr>
          <w:bCs/>
        </w:rPr>
        <w:t xml:space="preserve">Penelitian ini memiliki beberapa keterbatasan yang perlu diperhatikan. Pertama, objek penelitian hanya terbatas pada perusahaan sektor energi yang terdaftar di Bursa Efek Indonesia, sehingga hasil penelitian belum dapat digeneralisasikan pada sektor industri lain yang memiliki karakteristik berbeda. Kedua, periode penelitian yang relatif singkat, yaitu tahun 2022–2024, mungkin belum sepenuhnya mencerminkan dinamika jangka panjang praktik </w:t>
      </w:r>
      <w:r w:rsidRPr="00F4159D">
        <w:rPr>
          <w:bCs/>
          <w:i/>
          <w:iCs/>
        </w:rPr>
        <w:t>tax</w:t>
      </w:r>
      <w:r w:rsidRPr="00F4159D">
        <w:rPr>
          <w:bCs/>
        </w:rPr>
        <w:t xml:space="preserve"> </w:t>
      </w:r>
      <w:r w:rsidRPr="00F4159D">
        <w:rPr>
          <w:bCs/>
          <w:i/>
          <w:iCs/>
        </w:rPr>
        <w:t>evasion</w:t>
      </w:r>
      <w:r w:rsidRPr="00F4159D">
        <w:rPr>
          <w:bCs/>
        </w:rPr>
        <w:t xml:space="preserve"> perusahaan. Selain itu, pengukuran </w:t>
      </w:r>
      <w:r w:rsidRPr="00F4159D">
        <w:rPr>
          <w:bCs/>
          <w:i/>
          <w:iCs/>
        </w:rPr>
        <w:t>tax</w:t>
      </w:r>
      <w:r w:rsidRPr="00F4159D">
        <w:rPr>
          <w:bCs/>
        </w:rPr>
        <w:t xml:space="preserve"> </w:t>
      </w:r>
      <w:r w:rsidRPr="00F4159D">
        <w:rPr>
          <w:bCs/>
          <w:i/>
          <w:iCs/>
        </w:rPr>
        <w:t>evasion</w:t>
      </w:r>
      <w:r w:rsidRPr="00F4159D">
        <w:rPr>
          <w:bCs/>
        </w:rPr>
        <w:t xml:space="preserve"> menggunakan proksi berbasis </w:t>
      </w:r>
      <w:r w:rsidRPr="00F4159D">
        <w:rPr>
          <w:bCs/>
          <w:i/>
          <w:iCs/>
        </w:rPr>
        <w:t>effective</w:t>
      </w:r>
      <w:r w:rsidRPr="00F4159D">
        <w:rPr>
          <w:bCs/>
        </w:rPr>
        <w:t xml:space="preserve"> </w:t>
      </w:r>
      <w:r w:rsidRPr="00F4159D">
        <w:rPr>
          <w:bCs/>
          <w:i/>
          <w:iCs/>
        </w:rPr>
        <w:t>tax</w:t>
      </w:r>
      <w:r w:rsidRPr="00F4159D">
        <w:rPr>
          <w:bCs/>
        </w:rPr>
        <w:t xml:space="preserve"> </w:t>
      </w:r>
      <w:r w:rsidRPr="00F4159D">
        <w:rPr>
          <w:bCs/>
          <w:i/>
          <w:iCs/>
        </w:rPr>
        <w:t>rate</w:t>
      </w:r>
      <w:r w:rsidRPr="00F4159D">
        <w:rPr>
          <w:bCs/>
        </w:rPr>
        <w:t xml:space="preserve"> memiliki keterbatasan karena tidak sepenuhnya mampu menangkap praktik penggelapan pajak yang bersifat tersembunyi.</w:t>
      </w:r>
    </w:p>
    <w:p w14:paraId="37F8BB0C" w14:textId="77E61718" w:rsidR="00AE2D68" w:rsidRPr="00F4159D" w:rsidRDefault="00F4159D" w:rsidP="00F4159D">
      <w:pPr>
        <w:spacing w:after="360"/>
        <w:ind w:firstLine="709"/>
        <w:jc w:val="both"/>
        <w:rPr>
          <w:bCs/>
        </w:rPr>
      </w:pPr>
      <w:r w:rsidRPr="00F4159D">
        <w:rPr>
          <w:bCs/>
        </w:rPr>
        <w:t xml:space="preserve">Berdasarkan keterbatasan tersebut, penelitian selanjutnya disarankan untuk memperluas objek penelitian dengan mencakup sektor industri lain serta menggunakan periode pengamatan yang lebih panjang agar memperoleh hasil yang lebih komprehensif. Penelitian selanjutnya juga dapat menambahkan variabel lain seperti kualitas audit, independensi auditor, maupun mekanisme </w:t>
      </w:r>
      <w:r w:rsidRPr="00F4159D">
        <w:rPr>
          <w:bCs/>
          <w:i/>
          <w:iCs/>
        </w:rPr>
        <w:t>corporate</w:t>
      </w:r>
      <w:r w:rsidRPr="00F4159D">
        <w:rPr>
          <w:bCs/>
        </w:rPr>
        <w:t xml:space="preserve"> </w:t>
      </w:r>
      <w:r w:rsidRPr="00F4159D">
        <w:rPr>
          <w:bCs/>
          <w:i/>
          <w:iCs/>
        </w:rPr>
        <w:t>governance</w:t>
      </w:r>
      <w:r w:rsidRPr="00F4159D">
        <w:rPr>
          <w:bCs/>
        </w:rPr>
        <w:t xml:space="preserve"> yang berpotensi memengaruhi praktik </w:t>
      </w:r>
      <w:r w:rsidRPr="00F4159D">
        <w:rPr>
          <w:bCs/>
          <w:i/>
          <w:iCs/>
        </w:rPr>
        <w:t>tax</w:t>
      </w:r>
      <w:r w:rsidRPr="00F4159D">
        <w:rPr>
          <w:bCs/>
        </w:rPr>
        <w:t xml:space="preserve"> </w:t>
      </w:r>
      <w:r w:rsidRPr="00F4159D">
        <w:rPr>
          <w:bCs/>
          <w:i/>
          <w:iCs/>
        </w:rPr>
        <w:t>evasion</w:t>
      </w:r>
      <w:r w:rsidRPr="00F4159D">
        <w:rPr>
          <w:bCs/>
        </w:rPr>
        <w:t>. Dengan demikian, penelitian di masa mendatang diharapkan mampu memberikan pemahaman yang lebih luas mengenai faktor-faktor yang memengaruhi perilaku penggelapan pajak perusahaan.</w:t>
      </w:r>
    </w:p>
    <w:p w14:paraId="5C2C962C" w14:textId="77777777" w:rsidR="007B3B70" w:rsidRPr="0044421A" w:rsidRDefault="007B3B70" w:rsidP="007E2921">
      <w:pPr>
        <w:ind w:left="180" w:hanging="180"/>
        <w:rPr>
          <w:b/>
          <w:u w:val="single"/>
          <w:lang w:val="id-ID"/>
        </w:rPr>
      </w:pPr>
      <w:r w:rsidRPr="0044421A">
        <w:rPr>
          <w:b/>
          <w:lang w:val="id-ID"/>
        </w:rPr>
        <w:t>REFERENSI</w:t>
      </w:r>
    </w:p>
    <w:p w14:paraId="5F45F1F0" w14:textId="459DE7B7" w:rsidR="00496977" w:rsidRPr="00496977" w:rsidRDefault="00344C85" w:rsidP="00496977">
      <w:pPr>
        <w:widowControl w:val="0"/>
        <w:autoSpaceDE w:val="0"/>
        <w:autoSpaceDN w:val="0"/>
        <w:adjustRightInd w:val="0"/>
        <w:ind w:left="480" w:hanging="480"/>
        <w:jc w:val="both"/>
        <w:rPr>
          <w:noProof/>
        </w:rPr>
      </w:pPr>
      <w:r>
        <w:rPr>
          <w:lang w:val="id-ID"/>
        </w:rPr>
        <w:fldChar w:fldCharType="begin" w:fldLock="1"/>
      </w:r>
      <w:r>
        <w:rPr>
          <w:lang w:val="id-ID"/>
        </w:rPr>
        <w:instrText xml:space="preserve">ADDIN Mendeley Bibliography CSL_BIBLIOGRAPHY </w:instrText>
      </w:r>
      <w:r>
        <w:rPr>
          <w:lang w:val="id-ID"/>
        </w:rPr>
        <w:fldChar w:fldCharType="separate"/>
      </w:r>
      <w:r w:rsidR="00496977" w:rsidRPr="00496977">
        <w:rPr>
          <w:noProof/>
        </w:rPr>
        <w:t xml:space="preserve">Benkraiem, R., Uyar, A., Kilic, M., &amp; Schneider, F. (2021). Ethical behavior, auditing strength, and tax evasion: A worldwide perspective. </w:t>
      </w:r>
      <w:r w:rsidR="00496977" w:rsidRPr="00496977">
        <w:rPr>
          <w:i/>
          <w:iCs/>
          <w:noProof/>
        </w:rPr>
        <w:t>Journal of International Accounting, Auditing and Taxation</w:t>
      </w:r>
      <w:r w:rsidR="00496977" w:rsidRPr="00496977">
        <w:rPr>
          <w:noProof/>
        </w:rPr>
        <w:t xml:space="preserve">, </w:t>
      </w:r>
      <w:r w:rsidR="00496977" w:rsidRPr="00496977">
        <w:rPr>
          <w:i/>
          <w:iCs/>
          <w:noProof/>
        </w:rPr>
        <w:t>43</w:t>
      </w:r>
      <w:r w:rsidR="00496977" w:rsidRPr="00496977">
        <w:rPr>
          <w:noProof/>
        </w:rPr>
        <w:t>, 100380. https://doi.org/10.1016/J.INTACCAUDTAX.2021.100380</w:t>
      </w:r>
    </w:p>
    <w:p w14:paraId="195F6479"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Carey, P., &amp; Simnett, R. (2006). Audit Partner Tenure and Audit Quality. </w:t>
      </w:r>
      <w:r w:rsidRPr="00496977">
        <w:rPr>
          <w:i/>
          <w:iCs/>
          <w:noProof/>
        </w:rPr>
        <w:t>The Accounting Review</w:t>
      </w:r>
      <w:r w:rsidRPr="00496977">
        <w:rPr>
          <w:noProof/>
        </w:rPr>
        <w:t xml:space="preserve">, </w:t>
      </w:r>
      <w:r w:rsidRPr="00496977">
        <w:rPr>
          <w:i/>
          <w:iCs/>
          <w:noProof/>
        </w:rPr>
        <w:t>81</w:t>
      </w:r>
      <w:r w:rsidRPr="00496977">
        <w:rPr>
          <w:noProof/>
        </w:rPr>
        <w:t>(3), 653–676. https://www.jstor.org/stable/4093109</w:t>
      </w:r>
    </w:p>
    <w:p w14:paraId="7B9E3917"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DJP, P. (2024). </w:t>
      </w:r>
      <w:r w:rsidRPr="00496977">
        <w:rPr>
          <w:i/>
          <w:iCs/>
          <w:noProof/>
        </w:rPr>
        <w:t>Rugikan Negara 21,4 Miliar, Tersangka JAP Terancam Dibui Enam Tahun</w:t>
      </w:r>
      <w:r w:rsidRPr="00496977">
        <w:rPr>
          <w:noProof/>
        </w:rPr>
        <w:t>. Www.Pajak.Go.Id. https://www.pajak.go.id/id/siaran-pers/rugikan-negara-214-miliar-tersangka-jap-terancam-dibui-enam-tahun</w:t>
      </w:r>
    </w:p>
    <w:p w14:paraId="00011DF9"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DJP, P. (2025). </w:t>
      </w:r>
      <w:r w:rsidRPr="00496977">
        <w:rPr>
          <w:i/>
          <w:iCs/>
          <w:noProof/>
        </w:rPr>
        <w:t>Direktur PT SBI Diduga Gunakan Faktur Pajak Fiktif, Negara Rugi Rp890 Juta</w:t>
      </w:r>
      <w:r w:rsidRPr="00496977">
        <w:rPr>
          <w:noProof/>
        </w:rPr>
        <w:t>. Www.Pajak.Go.Id. https://www.pajak.go.id/id/siaran-pers/direktur-pt-sbi-diduga-gunakan-faktur-pajak-fiktif-negara-rugi-rp890-juta</w:t>
      </w:r>
    </w:p>
    <w:p w14:paraId="45E77B40"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Ghozali, I., &amp; Kusumadewi, K. A. (2023). </w:t>
      </w:r>
      <w:r w:rsidRPr="00496977">
        <w:rPr>
          <w:i/>
          <w:iCs/>
          <w:noProof/>
        </w:rPr>
        <w:t>Partial Least Squares : Konsep, Teknik, Dan Aplikasi Menggunakan Program SmartPLS 4.0 Untuk Penelitian Empiris</w:t>
      </w:r>
      <w:r w:rsidRPr="00496977">
        <w:rPr>
          <w:noProof/>
        </w:rPr>
        <w:t xml:space="preserve"> (1st ed.).</w:t>
      </w:r>
    </w:p>
    <w:p w14:paraId="5C701D04"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Ghozali, I., &amp; Latan, H. (2020). </w:t>
      </w:r>
      <w:r w:rsidRPr="00496977">
        <w:rPr>
          <w:i/>
          <w:iCs/>
          <w:noProof/>
        </w:rPr>
        <w:t>Partial Least Squares : Konsep, Teknik dan Aplikasi Menggunakan Program SmartPLS 3.2.9 Untuk Penelitian Empiris</w:t>
      </w:r>
      <w:r w:rsidRPr="00496977">
        <w:rPr>
          <w:noProof/>
        </w:rPr>
        <w:t xml:space="preserve"> (3rd ed.). Badan Penerbit Undip.</w:t>
      </w:r>
    </w:p>
    <w:p w14:paraId="54161731"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Hanlon, M., &amp; Heitzman, S. (2010). A review of tax research. </w:t>
      </w:r>
      <w:r w:rsidRPr="00496977">
        <w:rPr>
          <w:i/>
          <w:iCs/>
          <w:noProof/>
        </w:rPr>
        <w:t xml:space="preserve">Journal of Accounting and </w:t>
      </w:r>
      <w:r w:rsidRPr="00496977">
        <w:rPr>
          <w:i/>
          <w:iCs/>
          <w:noProof/>
        </w:rPr>
        <w:lastRenderedPageBreak/>
        <w:t>Economics</w:t>
      </w:r>
      <w:r w:rsidRPr="00496977">
        <w:rPr>
          <w:noProof/>
        </w:rPr>
        <w:t xml:space="preserve">, </w:t>
      </w:r>
      <w:r w:rsidRPr="00496977">
        <w:rPr>
          <w:i/>
          <w:iCs/>
          <w:noProof/>
        </w:rPr>
        <w:t>50</w:t>
      </w:r>
      <w:r w:rsidRPr="00496977">
        <w:rPr>
          <w:noProof/>
        </w:rPr>
        <w:t>(2–3), 127–178. https://doi.org/10.1016/J.JACCECO.2010.09.002</w:t>
      </w:r>
    </w:p>
    <w:p w14:paraId="6E848C7D"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Hendi, &amp; Sherly. (2024). The Role of Auditor Characteristics on Tax Avoidance. </w:t>
      </w:r>
      <w:r w:rsidRPr="00496977">
        <w:rPr>
          <w:i/>
          <w:iCs/>
          <w:noProof/>
        </w:rPr>
        <w:t>Jurnal Akuntansi</w:t>
      </w:r>
      <w:r w:rsidRPr="00496977">
        <w:rPr>
          <w:noProof/>
        </w:rPr>
        <w:t xml:space="preserve">, </w:t>
      </w:r>
      <w:r w:rsidRPr="00496977">
        <w:rPr>
          <w:i/>
          <w:iCs/>
          <w:noProof/>
        </w:rPr>
        <w:t>16</w:t>
      </w:r>
      <w:r w:rsidRPr="00496977">
        <w:rPr>
          <w:noProof/>
        </w:rPr>
        <w:t>(1), 41–52. https://doi.org/https://doi.org/10.28932/jam.v16i1.8098</w:t>
      </w:r>
    </w:p>
    <w:p w14:paraId="6E0E8182"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Iba, Z., &amp; Wardhana, A. (2024). </w:t>
      </w:r>
      <w:r w:rsidRPr="00496977">
        <w:rPr>
          <w:i/>
          <w:iCs/>
          <w:noProof/>
        </w:rPr>
        <w:t>Riset Manajeen Menggunakan SPSS dan SMART-PLS: Implementasi Pada Manajemen SDM, Pemasaran, Keuangan, Pendidikan, Kesehatan, Pemerintahan, &amp; Kewirausahaan</w:t>
      </w:r>
      <w:r w:rsidRPr="00496977">
        <w:rPr>
          <w:noProof/>
        </w:rPr>
        <w:t xml:space="preserve"> (M. Pradana (ed.); 1st ed.). Eureka Media Aksara.</w:t>
      </w:r>
    </w:p>
    <w:p w14:paraId="3D8B39DC"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Jensen, M. C., &amp; Meckling, W. H. (1976). Theory of the firm: Managerial behavior, agency costs and ownership structure. </w:t>
      </w:r>
      <w:r w:rsidRPr="00496977">
        <w:rPr>
          <w:i/>
          <w:iCs/>
          <w:noProof/>
        </w:rPr>
        <w:t>Journal of Financial Economics</w:t>
      </w:r>
      <w:r w:rsidRPr="00496977">
        <w:rPr>
          <w:noProof/>
        </w:rPr>
        <w:t xml:space="preserve">, </w:t>
      </w:r>
      <w:r w:rsidRPr="00496977">
        <w:rPr>
          <w:i/>
          <w:iCs/>
          <w:noProof/>
        </w:rPr>
        <w:t>3</w:t>
      </w:r>
      <w:r w:rsidRPr="00496977">
        <w:rPr>
          <w:noProof/>
        </w:rPr>
        <w:t>(4), 305–360. https://doi.org/10.1016/0304-405X(76)90026-X</w:t>
      </w:r>
    </w:p>
    <w:p w14:paraId="21377A7A"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Prabowo, K. T., Izzadieny, F., &amp; Rizka, N. R. (2025). The Effect of Taxation System and Tax Audit on Tax Evasion. </w:t>
      </w:r>
      <w:r w:rsidRPr="00496977">
        <w:rPr>
          <w:i/>
          <w:iCs/>
          <w:noProof/>
        </w:rPr>
        <w:t>Jurnal Akuntansi Unesa</w:t>
      </w:r>
      <w:r w:rsidRPr="00496977">
        <w:rPr>
          <w:noProof/>
        </w:rPr>
        <w:t xml:space="preserve">, </w:t>
      </w:r>
      <w:r w:rsidRPr="00496977">
        <w:rPr>
          <w:i/>
          <w:iCs/>
          <w:noProof/>
        </w:rPr>
        <w:t>13</w:t>
      </w:r>
      <w:r w:rsidRPr="00496977">
        <w:rPr>
          <w:noProof/>
        </w:rPr>
        <w:t>(2), 183–190. http://journal.unesa.ac.id/index.php/akunesa/index</w:t>
      </w:r>
    </w:p>
    <w:p w14:paraId="68624DB8"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Riguen, R., Salhi, B., &amp; Jarboui, A. (2021). The Impact of Audit Characteristics on Corporate Tax Avoidance: The Moderating Role of Gender Diversity. </w:t>
      </w:r>
      <w:r w:rsidRPr="00496977">
        <w:rPr>
          <w:i/>
          <w:iCs/>
          <w:noProof/>
        </w:rPr>
        <w:t>Scientific Annals of Economics and Business</w:t>
      </w:r>
      <w:r w:rsidRPr="00496977">
        <w:rPr>
          <w:noProof/>
        </w:rPr>
        <w:t xml:space="preserve">, </w:t>
      </w:r>
      <w:r w:rsidRPr="00496977">
        <w:rPr>
          <w:i/>
          <w:iCs/>
          <w:noProof/>
        </w:rPr>
        <w:t>68</w:t>
      </w:r>
      <w:r w:rsidRPr="00496977">
        <w:rPr>
          <w:noProof/>
        </w:rPr>
        <w:t>(1), 97–114. https://doi.org/10.47743/saeb-2021-0002</w:t>
      </w:r>
    </w:p>
    <w:p w14:paraId="1E4C7CEA"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Rosalina, L. (2023). Tax Avoidance: Peran Karakter Auditor Menekan Munculnya Tax Avoidance (Kasus Pada Perusahaan yang Tergabung dalam JII70 Tahun 2021). </w:t>
      </w:r>
      <w:r w:rsidRPr="00496977">
        <w:rPr>
          <w:i/>
          <w:iCs/>
          <w:noProof/>
        </w:rPr>
        <w:t>AKTSAR: Jurnal Akuntansi Syariah</w:t>
      </w:r>
      <w:r w:rsidRPr="00496977">
        <w:rPr>
          <w:noProof/>
        </w:rPr>
        <w:t xml:space="preserve">, </w:t>
      </w:r>
      <w:r w:rsidRPr="00496977">
        <w:rPr>
          <w:i/>
          <w:iCs/>
          <w:noProof/>
        </w:rPr>
        <w:t>6</w:t>
      </w:r>
      <w:r w:rsidRPr="00496977">
        <w:rPr>
          <w:noProof/>
        </w:rPr>
        <w:t>, 104–120. https://doi.org/10.21043/aktsar.v6i1.20383</w:t>
      </w:r>
    </w:p>
    <w:p w14:paraId="7760D427"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Setiabudhi, H., Suwono, Setiawan, Y. A., &amp; Karim, S. (2025). </w:t>
      </w:r>
      <w:r w:rsidRPr="00496977">
        <w:rPr>
          <w:i/>
          <w:iCs/>
          <w:noProof/>
        </w:rPr>
        <w:t>Analisis Data Kuantitatif degan Smart-PLS 4</w:t>
      </w:r>
      <w:r w:rsidRPr="00496977">
        <w:rPr>
          <w:noProof/>
        </w:rPr>
        <w:t xml:space="preserve"> (I. P. H. H. Duari (ed.); 1st ed.). Borneo Novelty Publishing. https://ebooks.borneonovelty.com/media/publications/588838-analisis-data-kuantitatif-dengan-smartpl-29069ce4.pdf</w:t>
      </w:r>
    </w:p>
    <w:p w14:paraId="58B7D061"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Simamora, G. P. T., &amp; Prabowo, T. J. W. (2023). Pengaruh Karakteristik Audit terhadap Penghindaran Pajak. </w:t>
      </w:r>
      <w:r w:rsidRPr="00496977">
        <w:rPr>
          <w:i/>
          <w:iCs/>
          <w:noProof/>
        </w:rPr>
        <w:t>Diponegoro Journal of Accounting</w:t>
      </w:r>
      <w:r w:rsidRPr="00496977">
        <w:rPr>
          <w:noProof/>
        </w:rPr>
        <w:t xml:space="preserve">, </w:t>
      </w:r>
      <w:r w:rsidRPr="00496977">
        <w:rPr>
          <w:i/>
          <w:iCs/>
          <w:noProof/>
        </w:rPr>
        <w:t>12</w:t>
      </w:r>
      <w:r w:rsidRPr="00496977">
        <w:rPr>
          <w:noProof/>
        </w:rPr>
        <w:t>(4), 1–13. https://ejournal3.undip.ac.id/index.php/accounting/article/view/41625</w:t>
      </w:r>
    </w:p>
    <w:p w14:paraId="1EC20EF4"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Solikhun, M. (2024). </w:t>
      </w:r>
      <w:r w:rsidRPr="00496977">
        <w:rPr>
          <w:i/>
          <w:iCs/>
          <w:noProof/>
        </w:rPr>
        <w:t>Rugikan Negara 2,9 Miliar, Korporasi PT BAPI Resmi Diserahkan ke Kejaksaan</w:t>
      </w:r>
      <w:r w:rsidRPr="00496977">
        <w:rPr>
          <w:noProof/>
        </w:rPr>
        <w:t>. Www.Pajak.Go.Id. https://www.pajak.go.id/id/siaran-pers/rugikan-negara-29-miliar-korporasi-pt-bapi-resmi-diserahkan-ke-kejaksaan</w:t>
      </w:r>
    </w:p>
    <w:p w14:paraId="15C467D5"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Suyadnya, I. G., &amp; Supadmi, N. L. (2017). Pengaruh Ukuran KAP, Audit Fee, dan Audit Tenure pada Agresivitas Pajak (2017).pdf. </w:t>
      </w:r>
      <w:r w:rsidRPr="00496977">
        <w:rPr>
          <w:i/>
          <w:iCs/>
          <w:noProof/>
        </w:rPr>
        <w:t>E-Jurnal Akuntansi Universitas Udayana</w:t>
      </w:r>
      <w:r w:rsidRPr="00496977">
        <w:rPr>
          <w:noProof/>
        </w:rPr>
        <w:t xml:space="preserve">, </w:t>
      </w:r>
      <w:r w:rsidRPr="00496977">
        <w:rPr>
          <w:i/>
          <w:iCs/>
          <w:noProof/>
        </w:rPr>
        <w:t>21</w:t>
      </w:r>
      <w:r w:rsidRPr="00496977">
        <w:rPr>
          <w:noProof/>
        </w:rPr>
        <w:t>(1), 1131–1159.</w:t>
      </w:r>
    </w:p>
    <w:p w14:paraId="2AD00AE8" w14:textId="77777777" w:rsidR="00496977" w:rsidRPr="00496977" w:rsidRDefault="00496977" w:rsidP="00496977">
      <w:pPr>
        <w:widowControl w:val="0"/>
        <w:autoSpaceDE w:val="0"/>
        <w:autoSpaceDN w:val="0"/>
        <w:adjustRightInd w:val="0"/>
        <w:ind w:left="480" w:hanging="480"/>
        <w:jc w:val="both"/>
        <w:rPr>
          <w:noProof/>
        </w:rPr>
      </w:pPr>
      <w:r w:rsidRPr="00496977">
        <w:rPr>
          <w:noProof/>
        </w:rPr>
        <w:t xml:space="preserve">Warsini, S., &amp; Fatimah, H. (2019). Analisis Determinan Penghindaran Pajak Pada Perusahaan Publik yang Dikontrol Keluarga. </w:t>
      </w:r>
      <w:r w:rsidRPr="00496977">
        <w:rPr>
          <w:i/>
          <w:iCs/>
          <w:noProof/>
        </w:rPr>
        <w:t>Journal of Applied Accounting and Taxation</w:t>
      </w:r>
      <w:r w:rsidRPr="00496977">
        <w:rPr>
          <w:noProof/>
        </w:rPr>
        <w:t xml:space="preserve">, </w:t>
      </w:r>
      <w:r w:rsidRPr="00496977">
        <w:rPr>
          <w:i/>
          <w:iCs/>
          <w:noProof/>
        </w:rPr>
        <w:t>4</w:t>
      </w:r>
      <w:r w:rsidRPr="00496977">
        <w:rPr>
          <w:noProof/>
        </w:rPr>
        <w:t>(2), 203–213. https://doi.org/10.30871/JAAT.V4I2.1661</w:t>
      </w:r>
    </w:p>
    <w:p w14:paraId="390BA148" w14:textId="497C938E" w:rsidR="00B535C4" w:rsidRPr="0044421A" w:rsidRDefault="00344C85" w:rsidP="00496977">
      <w:pPr>
        <w:jc w:val="both"/>
        <w:rPr>
          <w:lang w:val="id-ID"/>
        </w:rPr>
      </w:pPr>
      <w:r>
        <w:rPr>
          <w:lang w:val="id-ID"/>
        </w:rPr>
        <w:fldChar w:fldCharType="end"/>
      </w:r>
    </w:p>
    <w:sectPr w:rsidR="00B535C4" w:rsidRPr="0044421A" w:rsidSect="00DF68C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74" w:right="1418"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6E70E5" w14:textId="77777777" w:rsidR="002A0D4C" w:rsidRDefault="002A0D4C">
      <w:r>
        <w:separator/>
      </w:r>
    </w:p>
  </w:endnote>
  <w:endnote w:type="continuationSeparator" w:id="0">
    <w:p w14:paraId="3A3210FE" w14:textId="77777777" w:rsidR="002A0D4C" w:rsidRDefault="002A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E7749" w14:textId="77777777" w:rsidR="007B3B70" w:rsidRDefault="007B3B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42D508" w14:textId="77777777" w:rsidR="007B3B70" w:rsidRDefault="007B3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3E2A2" w14:textId="77777777" w:rsidR="00C33CD0" w:rsidRDefault="00C33CD0">
    <w:pPr>
      <w:pStyle w:val="Footer"/>
      <w:jc w:val="right"/>
    </w:pPr>
    <w:r>
      <w:fldChar w:fldCharType="begin"/>
    </w:r>
    <w:r>
      <w:instrText xml:space="preserve"> PAGE   \* MERGEFORMAT </w:instrText>
    </w:r>
    <w:r>
      <w:fldChar w:fldCharType="separate"/>
    </w:r>
    <w:r w:rsidR="00AE2D68">
      <w:rPr>
        <w:noProof/>
      </w:rPr>
      <w:t>4</w:t>
    </w:r>
    <w:r>
      <w:fldChar w:fldCharType="end"/>
    </w:r>
  </w:p>
  <w:p w14:paraId="493A239D" w14:textId="77777777" w:rsidR="007B3B70" w:rsidRDefault="007B3B70" w:rsidP="006707F9">
    <w:pPr>
      <w:pStyle w:val="Footer"/>
      <w:tabs>
        <w:tab w:val="clear" w:pos="4320"/>
        <w:tab w:val="clear" w:pos="8640"/>
        <w:tab w:val="center" w:pos="4394"/>
        <w:tab w:val="right" w:pos="878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3C7C3" w14:textId="77777777" w:rsidR="00476D31" w:rsidRDefault="00476D31" w:rsidP="00476D31">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03194" w14:textId="77777777" w:rsidR="002A0D4C" w:rsidRDefault="002A0D4C">
      <w:r>
        <w:separator/>
      </w:r>
    </w:p>
  </w:footnote>
  <w:footnote w:type="continuationSeparator" w:id="0">
    <w:p w14:paraId="57811630" w14:textId="77777777" w:rsidR="002A0D4C" w:rsidRDefault="002A0D4C">
      <w:r>
        <w:continuationSeparator/>
      </w:r>
    </w:p>
  </w:footnote>
  <w:footnote w:id="1">
    <w:p w14:paraId="082D710E" w14:textId="71CE0B1E" w:rsidR="0093659F" w:rsidRDefault="0093659F">
      <w:pPr>
        <w:pStyle w:val="FootnoteText"/>
      </w:pPr>
      <w:r>
        <w:rPr>
          <w:rStyle w:val="FootnoteReference"/>
        </w:rPr>
        <w:footnoteRef/>
      </w:r>
      <w:r>
        <w:t xml:space="preserve"> </w:t>
      </w:r>
      <w:r w:rsidRPr="0093659F">
        <w:rPr>
          <w:i/>
          <w:iCs/>
        </w:rPr>
        <w:t>Corresponding author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3B5D48" w14:textId="77777777" w:rsidR="00355DA9" w:rsidRDefault="00355D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40C96" w14:textId="2A55FE6E" w:rsidR="006707F9" w:rsidRPr="00476D31" w:rsidRDefault="00246705" w:rsidP="0076299B">
    <w:pPr>
      <w:pStyle w:val="Header"/>
      <w:pBdr>
        <w:bottom w:val="single" w:sz="4" w:space="1" w:color="auto"/>
      </w:pBdr>
      <w:tabs>
        <w:tab w:val="clear" w:pos="4320"/>
        <w:tab w:val="clear" w:pos="8640"/>
        <w:tab w:val="center" w:pos="4678"/>
        <w:tab w:val="right" w:pos="8788"/>
      </w:tabs>
      <w:rPr>
        <w:i/>
      </w:rPr>
    </w:pPr>
    <w:r w:rsidRPr="006707F9">
      <w:rPr>
        <w:b/>
        <w:noProof/>
        <w:sz w:val="20"/>
      </w:rPr>
      <w:drawing>
        <wp:anchor distT="0" distB="0" distL="114300" distR="114300" simplePos="0" relativeHeight="251658240" behindDoc="0" locked="0" layoutInCell="1" allowOverlap="1" wp14:anchorId="273FDC37" wp14:editId="77C100FD">
          <wp:simplePos x="0" y="0"/>
          <wp:positionH relativeFrom="column">
            <wp:posOffset>-596265</wp:posOffset>
          </wp:positionH>
          <wp:positionV relativeFrom="paragraph">
            <wp:posOffset>-201930</wp:posOffset>
          </wp:positionV>
          <wp:extent cx="462915" cy="5232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955" t="10487" r="26894" b="11237"/>
                  <a:stretch>
                    <a:fillRect/>
                  </a:stretch>
                </pic:blipFill>
                <pic:spPr bwMode="auto">
                  <a:xfrm>
                    <a:off x="0" y="0"/>
                    <a:ext cx="46291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68C3" w:rsidRPr="006707F9">
      <w:rPr>
        <w:b/>
        <w:sz w:val="20"/>
      </w:rPr>
      <w:t xml:space="preserve">DIPONEGORO JOURNAL OF ACCOUNTING </w:t>
    </w:r>
    <w:r w:rsidR="00DF68C3">
      <w:rPr>
        <w:b/>
        <w:sz w:val="20"/>
      </w:rPr>
      <w:tab/>
    </w:r>
    <w:r w:rsidR="0076299B">
      <w:rPr>
        <w:b/>
        <w:sz w:val="20"/>
      </w:rPr>
      <w:tab/>
    </w:r>
    <w:r w:rsidR="00DF68C3" w:rsidRPr="00DF68C3">
      <w:rPr>
        <w:b/>
        <w:i/>
        <w:sz w:val="20"/>
      </w:rPr>
      <w:t>Volume 1</w:t>
    </w:r>
    <w:r w:rsidR="00F91D99">
      <w:rPr>
        <w:b/>
        <w:i/>
        <w:sz w:val="20"/>
      </w:rPr>
      <w:t>5</w:t>
    </w:r>
    <w:r w:rsidR="00DF68C3" w:rsidRPr="00DF68C3">
      <w:rPr>
        <w:b/>
        <w:i/>
        <w:sz w:val="20"/>
      </w:rPr>
      <w:t>,</w:t>
    </w:r>
    <w:r w:rsidR="0076299B">
      <w:rPr>
        <w:b/>
        <w:i/>
        <w:sz w:val="20"/>
      </w:rPr>
      <w:t xml:space="preserve"> </w:t>
    </w:r>
    <w:r w:rsidR="00DF68C3" w:rsidRPr="00DF68C3">
      <w:rPr>
        <w:b/>
        <w:i/>
        <w:sz w:val="20"/>
      </w:rPr>
      <w:t>Nomor 1, Tahun 20</w:t>
    </w:r>
    <w:r w:rsidR="0076299B">
      <w:rPr>
        <w:b/>
        <w:i/>
        <w:sz w:val="20"/>
      </w:rPr>
      <w:t>26</w:t>
    </w:r>
    <w:r w:rsidR="00DF68C3" w:rsidRPr="00DF68C3">
      <w:rPr>
        <w:b/>
        <w:i/>
        <w:sz w:val="20"/>
      </w:rPr>
      <w:t xml:space="preserve">, Halaman </w:t>
    </w:r>
    <w:r w:rsidR="00DF68C3" w:rsidRPr="00F91D99">
      <w:rPr>
        <w:b/>
        <w:bCs/>
        <w:i/>
        <w:sz w:val="20"/>
      </w:rPr>
      <w:fldChar w:fldCharType="begin"/>
    </w:r>
    <w:r w:rsidR="00DF68C3" w:rsidRPr="00F91D99">
      <w:rPr>
        <w:b/>
        <w:bCs/>
        <w:i/>
        <w:sz w:val="20"/>
      </w:rPr>
      <w:instrText xml:space="preserve"> PAGE   \* MERGEFORMAT </w:instrText>
    </w:r>
    <w:r w:rsidR="00DF68C3" w:rsidRPr="00F91D99">
      <w:rPr>
        <w:b/>
        <w:bCs/>
        <w:i/>
        <w:sz w:val="20"/>
      </w:rPr>
      <w:fldChar w:fldCharType="separate"/>
    </w:r>
    <w:r w:rsidR="00AE2D68" w:rsidRPr="00F91D99">
      <w:rPr>
        <w:b/>
        <w:bCs/>
        <w:i/>
        <w:noProof/>
        <w:sz w:val="20"/>
      </w:rPr>
      <w:t>4</w:t>
    </w:r>
    <w:r w:rsidR="00DF68C3" w:rsidRPr="00F91D99">
      <w:rPr>
        <w:b/>
        <w:bCs/>
        <w:i/>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38E885" w14:textId="7A21EF5A" w:rsidR="00DF68C3" w:rsidRDefault="00246705" w:rsidP="00F91D99">
    <w:pPr>
      <w:pStyle w:val="Header"/>
      <w:pBdr>
        <w:bottom w:val="single" w:sz="4" w:space="1" w:color="auto"/>
      </w:pBdr>
      <w:tabs>
        <w:tab w:val="clear" w:pos="8640"/>
        <w:tab w:val="right" w:pos="8788"/>
      </w:tabs>
      <w:rPr>
        <w:b/>
        <w:i/>
        <w:sz w:val="20"/>
      </w:rPr>
    </w:pPr>
    <w:r w:rsidRPr="006707F9">
      <w:rPr>
        <w:b/>
        <w:noProof/>
        <w:sz w:val="20"/>
      </w:rPr>
      <w:drawing>
        <wp:anchor distT="0" distB="0" distL="114300" distR="114300" simplePos="0" relativeHeight="251657216" behindDoc="0" locked="0" layoutInCell="1" allowOverlap="1" wp14:anchorId="57EFEA0B" wp14:editId="6C32FA18">
          <wp:simplePos x="0" y="0"/>
          <wp:positionH relativeFrom="column">
            <wp:posOffset>-596265</wp:posOffset>
          </wp:positionH>
          <wp:positionV relativeFrom="paragraph">
            <wp:posOffset>-201930</wp:posOffset>
          </wp:positionV>
          <wp:extent cx="462915" cy="52324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26955" t="10487" r="26894" b="11237"/>
                  <a:stretch>
                    <a:fillRect/>
                  </a:stretch>
                </pic:blipFill>
                <pic:spPr bwMode="auto">
                  <a:xfrm>
                    <a:off x="0" y="0"/>
                    <a:ext cx="462915" cy="52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68C3" w:rsidRPr="006707F9">
      <w:rPr>
        <w:b/>
        <w:sz w:val="20"/>
      </w:rPr>
      <w:t xml:space="preserve">DIPONEGORO JOURNAL OF </w:t>
    </w:r>
    <w:r w:rsidR="00FB3E2D">
      <w:rPr>
        <w:b/>
        <w:sz w:val="20"/>
      </w:rPr>
      <w:t xml:space="preserve">ACCOUNTING    </w:t>
    </w:r>
    <w:r w:rsidR="00DF68C3" w:rsidRPr="006707F9">
      <w:rPr>
        <w:b/>
        <w:sz w:val="20"/>
      </w:rPr>
      <w:tab/>
    </w:r>
    <w:r w:rsidR="00DF68C3" w:rsidRPr="00DF68C3">
      <w:rPr>
        <w:b/>
        <w:i/>
        <w:sz w:val="20"/>
      </w:rPr>
      <w:t xml:space="preserve">Volume </w:t>
    </w:r>
    <w:r w:rsidR="00F91D99">
      <w:rPr>
        <w:b/>
        <w:i/>
        <w:sz w:val="20"/>
      </w:rPr>
      <w:t>15</w:t>
    </w:r>
    <w:r w:rsidR="00DF68C3" w:rsidRPr="00DF68C3">
      <w:rPr>
        <w:b/>
        <w:i/>
        <w:sz w:val="20"/>
      </w:rPr>
      <w:t xml:space="preserve">, Nomor </w:t>
    </w:r>
    <w:r w:rsidR="00F91D99">
      <w:rPr>
        <w:b/>
        <w:i/>
        <w:sz w:val="20"/>
      </w:rPr>
      <w:t>1</w:t>
    </w:r>
    <w:r w:rsidR="00DF68C3" w:rsidRPr="00DF68C3">
      <w:rPr>
        <w:b/>
        <w:i/>
        <w:sz w:val="20"/>
      </w:rPr>
      <w:t>,</w:t>
    </w:r>
    <w:r w:rsidR="00F91D99">
      <w:rPr>
        <w:b/>
        <w:i/>
        <w:sz w:val="20"/>
      </w:rPr>
      <w:t xml:space="preserve"> </w:t>
    </w:r>
    <w:r w:rsidR="00DF68C3" w:rsidRPr="00DF68C3">
      <w:rPr>
        <w:b/>
        <w:i/>
        <w:sz w:val="20"/>
      </w:rPr>
      <w:t>Tahun 20</w:t>
    </w:r>
    <w:r w:rsidR="00B535C4">
      <w:rPr>
        <w:b/>
        <w:i/>
        <w:sz w:val="20"/>
      </w:rPr>
      <w:t>26</w:t>
    </w:r>
    <w:r w:rsidR="00DF68C3" w:rsidRPr="00DF68C3">
      <w:rPr>
        <w:b/>
        <w:i/>
        <w:sz w:val="20"/>
      </w:rPr>
      <w:t xml:space="preserve">, Halaman </w:t>
    </w:r>
    <w:r w:rsidR="00B535C4">
      <w:rPr>
        <w:b/>
        <w:i/>
        <w:sz w:val="20"/>
      </w:rPr>
      <w:t>1</w:t>
    </w:r>
    <w:r w:rsidR="00F91D99">
      <w:rPr>
        <w:b/>
        <w:i/>
        <w:sz w:val="20"/>
      </w:rPr>
      <w:t>-15</w:t>
    </w:r>
  </w:p>
  <w:p w14:paraId="763D2A9A" w14:textId="7A5EB14B" w:rsidR="00841443" w:rsidRPr="00841443" w:rsidRDefault="00443E40" w:rsidP="00F91D99">
    <w:pPr>
      <w:pStyle w:val="Header"/>
      <w:pBdr>
        <w:bottom w:val="single" w:sz="4" w:space="1" w:color="auto"/>
      </w:pBdr>
      <w:tabs>
        <w:tab w:val="clear" w:pos="8640"/>
        <w:tab w:val="right" w:pos="8788"/>
      </w:tabs>
      <w:rPr>
        <w:i/>
        <w:sz w:val="20"/>
      </w:rPr>
    </w:pPr>
    <w:r w:rsidRPr="00443E40">
      <w:rPr>
        <w:i/>
        <w:sz w:val="20"/>
      </w:rPr>
      <w:t>https://ejournal3.undip.ac.id/index.php/accounting</w:t>
    </w:r>
    <w:r w:rsidR="003874CF">
      <w:rPr>
        <w:i/>
        <w:sz w:val="20"/>
      </w:rPr>
      <w:t xml:space="preserve">      </w:t>
    </w:r>
    <w:r w:rsidR="00F91D99">
      <w:rPr>
        <w:i/>
        <w:sz w:val="20"/>
      </w:rPr>
      <w:t xml:space="preserve">   </w:t>
    </w:r>
    <w:r w:rsidR="003874CF">
      <w:rPr>
        <w:i/>
        <w:sz w:val="20"/>
      </w:rPr>
      <w:t xml:space="preserve"> </w:t>
    </w:r>
    <w:r w:rsidR="00F91D99">
      <w:rPr>
        <w:i/>
        <w:sz w:val="20"/>
      </w:rPr>
      <w:t xml:space="preserve"> </w:t>
    </w:r>
    <w:r w:rsidR="00355DA9">
      <w:rPr>
        <w:i/>
        <w:sz w:val="20"/>
      </w:rPr>
      <w:t xml:space="preserve"> </w:t>
    </w:r>
    <w:bookmarkStart w:id="0" w:name="_GoBack"/>
    <w:bookmarkEnd w:id="0"/>
    <w:r w:rsidR="003874CF" w:rsidRPr="003874CF">
      <w:rPr>
        <w:b/>
        <w:i/>
        <w:sz w:val="20"/>
      </w:rPr>
      <w:t>ISSN</w:t>
    </w:r>
    <w:r w:rsidR="003874CF">
      <w:rPr>
        <w:b/>
        <w:i/>
        <w:sz w:val="20"/>
      </w:rPr>
      <w:t xml:space="preserve"> (</w:t>
    </w:r>
    <w:r w:rsidR="009B70B4">
      <w:rPr>
        <w:b/>
        <w:i/>
        <w:sz w:val="20"/>
      </w:rPr>
      <w:t>O</w:t>
    </w:r>
    <w:r w:rsidR="003874CF">
      <w:rPr>
        <w:b/>
        <w:i/>
        <w:sz w:val="20"/>
      </w:rPr>
      <w:t>nline)</w:t>
    </w:r>
    <w:r w:rsidR="003874CF" w:rsidRPr="003874CF">
      <w:rPr>
        <w:b/>
        <w:i/>
        <w:sz w:val="20"/>
      </w:rPr>
      <w:t>: 2337-3806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82C16"/>
    <w:multiLevelType w:val="hybridMultilevel"/>
    <w:tmpl w:val="EDBE4C0A"/>
    <w:lvl w:ilvl="0" w:tplc="22406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651337"/>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2167A2C"/>
    <w:multiLevelType w:val="hybridMultilevel"/>
    <w:tmpl w:val="CCDEF1E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F83C10"/>
    <w:multiLevelType w:val="hybridMultilevel"/>
    <w:tmpl w:val="07A807C2"/>
    <w:lvl w:ilvl="0" w:tplc="22406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C00A3F"/>
    <w:multiLevelType w:val="hybridMultilevel"/>
    <w:tmpl w:val="9B34A73E"/>
    <w:lvl w:ilvl="0" w:tplc="0409000F">
      <w:start w:val="1"/>
      <w:numFmt w:val="decimal"/>
      <w:lvlText w:val="%1."/>
      <w:lvlJc w:val="left"/>
      <w:pPr>
        <w:tabs>
          <w:tab w:val="num" w:pos="1440"/>
        </w:tabs>
        <w:ind w:left="1440" w:hanging="360"/>
      </w:pPr>
    </w:lvl>
    <w:lvl w:ilvl="1" w:tplc="62A486EE">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DB71DD5"/>
    <w:multiLevelType w:val="hybridMultilevel"/>
    <w:tmpl w:val="BEAE8EB8"/>
    <w:lvl w:ilvl="0" w:tplc="22406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0"/>
        </w:tabs>
        <w:ind w:left="0" w:hanging="360"/>
      </w:pPr>
    </w:lvl>
    <w:lvl w:ilvl="4" w:tplc="04090019" w:tentative="1">
      <w:start w:val="1"/>
      <w:numFmt w:val="lowerLetter"/>
      <w:lvlText w:val="%5."/>
      <w:lvlJc w:val="left"/>
      <w:pPr>
        <w:tabs>
          <w:tab w:val="num" w:pos="720"/>
        </w:tabs>
        <w:ind w:left="720" w:hanging="360"/>
      </w:pPr>
    </w:lvl>
    <w:lvl w:ilvl="5" w:tplc="0409001B" w:tentative="1">
      <w:start w:val="1"/>
      <w:numFmt w:val="lowerRoman"/>
      <w:lvlText w:val="%6."/>
      <w:lvlJc w:val="right"/>
      <w:pPr>
        <w:tabs>
          <w:tab w:val="num" w:pos="1440"/>
        </w:tabs>
        <w:ind w:left="1440" w:hanging="180"/>
      </w:pPr>
    </w:lvl>
    <w:lvl w:ilvl="6" w:tplc="0409000F" w:tentative="1">
      <w:start w:val="1"/>
      <w:numFmt w:val="decimal"/>
      <w:lvlText w:val="%7."/>
      <w:lvlJc w:val="left"/>
      <w:pPr>
        <w:tabs>
          <w:tab w:val="num" w:pos="2160"/>
        </w:tabs>
        <w:ind w:left="2160" w:hanging="360"/>
      </w:pPr>
    </w:lvl>
    <w:lvl w:ilvl="7" w:tplc="04090019" w:tentative="1">
      <w:start w:val="1"/>
      <w:numFmt w:val="lowerLetter"/>
      <w:lvlText w:val="%8."/>
      <w:lvlJc w:val="left"/>
      <w:pPr>
        <w:tabs>
          <w:tab w:val="num" w:pos="2880"/>
        </w:tabs>
        <w:ind w:left="2880" w:hanging="360"/>
      </w:pPr>
    </w:lvl>
    <w:lvl w:ilvl="8" w:tplc="0409001B" w:tentative="1">
      <w:start w:val="1"/>
      <w:numFmt w:val="lowerRoman"/>
      <w:lvlText w:val="%9."/>
      <w:lvlJc w:val="right"/>
      <w:pPr>
        <w:tabs>
          <w:tab w:val="num" w:pos="3600"/>
        </w:tabs>
        <w:ind w:left="3600" w:hanging="180"/>
      </w:pPr>
    </w:lvl>
  </w:abstractNum>
  <w:abstractNum w:abstractNumId="6" w15:restartNumberingAfterBreak="0">
    <w:nsid w:val="1EEA1C75"/>
    <w:multiLevelType w:val="multilevel"/>
    <w:tmpl w:val="C06A432C"/>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570"/>
        </w:tabs>
        <w:ind w:left="570" w:hanging="48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7" w15:restartNumberingAfterBreak="0">
    <w:nsid w:val="44117AB1"/>
    <w:multiLevelType w:val="hybridMultilevel"/>
    <w:tmpl w:val="53A2DF06"/>
    <w:lvl w:ilvl="0" w:tplc="A7F279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F80474"/>
    <w:multiLevelType w:val="hybridMultilevel"/>
    <w:tmpl w:val="222EA184"/>
    <w:lvl w:ilvl="0" w:tplc="A7F279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C8D0E3D"/>
    <w:multiLevelType w:val="multilevel"/>
    <w:tmpl w:val="0B38DFA8"/>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6DD23BF"/>
    <w:multiLevelType w:val="hybridMultilevel"/>
    <w:tmpl w:val="5F301476"/>
    <w:lvl w:ilvl="0" w:tplc="A7F27900">
      <w:start w:val="1"/>
      <w:numFmt w:val="decimal"/>
      <w:lvlText w:val="%1."/>
      <w:lvlJc w:val="left"/>
      <w:pPr>
        <w:tabs>
          <w:tab w:val="num" w:pos="720"/>
        </w:tabs>
        <w:ind w:left="720" w:hanging="360"/>
      </w:pPr>
      <w:rPr>
        <w:rFonts w:hint="default"/>
      </w:rPr>
    </w:lvl>
    <w:lvl w:ilvl="1" w:tplc="717AEE7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7B4636"/>
    <w:multiLevelType w:val="multilevel"/>
    <w:tmpl w:val="96582AB2"/>
    <w:lvl w:ilvl="0">
      <w:start w:val="1"/>
      <w:numFmt w:val="decimal"/>
      <w:lvlText w:val="2.4.%1"/>
      <w:lvlJc w:val="left"/>
      <w:pPr>
        <w:ind w:left="720" w:hanging="360"/>
      </w:pPr>
      <w:rPr>
        <w:rFonts w:ascii="Times New Roman" w:eastAsia="Times New Roman" w:hAnsi="Times New Roman" w:cs="Times New Roman"/>
        <w:b/>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A1483C"/>
    <w:multiLevelType w:val="multilevel"/>
    <w:tmpl w:val="CE8ED3D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2"/>
      <w:numFmt w:val="decimal"/>
      <w:lvlText w:val="%3.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B907E7C"/>
    <w:multiLevelType w:val="multilevel"/>
    <w:tmpl w:val="8028FD3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2"/>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4" w15:restartNumberingAfterBreak="0">
    <w:nsid w:val="5C8948B5"/>
    <w:multiLevelType w:val="hybridMultilevel"/>
    <w:tmpl w:val="36BE9D28"/>
    <w:lvl w:ilvl="0" w:tplc="657EF49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5" w15:restartNumberingAfterBreak="0">
    <w:nsid w:val="6115262C"/>
    <w:multiLevelType w:val="hybridMultilevel"/>
    <w:tmpl w:val="88BAC47E"/>
    <w:lvl w:ilvl="0" w:tplc="AB1028EE">
      <w:start w:val="4"/>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639B79D3"/>
    <w:multiLevelType w:val="hybridMultilevel"/>
    <w:tmpl w:val="A3C8D8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4DA489F"/>
    <w:multiLevelType w:val="hybridMultilevel"/>
    <w:tmpl w:val="A27855F4"/>
    <w:lvl w:ilvl="0" w:tplc="2240687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8" w15:restartNumberingAfterBreak="0">
    <w:nsid w:val="65C33738"/>
    <w:multiLevelType w:val="hybridMultilevel"/>
    <w:tmpl w:val="DB783C8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53A0BBE"/>
    <w:multiLevelType w:val="hybridMultilevel"/>
    <w:tmpl w:val="3AA8AF6C"/>
    <w:lvl w:ilvl="0" w:tplc="C5D6314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6F86063"/>
    <w:multiLevelType w:val="multilevel"/>
    <w:tmpl w:val="0AEAF0B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93F2BF9"/>
    <w:multiLevelType w:val="hybridMultilevel"/>
    <w:tmpl w:val="5EC63AE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7AB70347"/>
    <w:multiLevelType w:val="hybridMultilevel"/>
    <w:tmpl w:val="0B38DFA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14"/>
  </w:num>
  <w:num w:numId="3">
    <w:abstractNumId w:val="7"/>
  </w:num>
  <w:num w:numId="4">
    <w:abstractNumId w:val="10"/>
  </w:num>
  <w:num w:numId="5">
    <w:abstractNumId w:val="1"/>
  </w:num>
  <w:num w:numId="6">
    <w:abstractNumId w:val="12"/>
  </w:num>
  <w:num w:numId="7">
    <w:abstractNumId w:val="8"/>
  </w:num>
  <w:num w:numId="8">
    <w:abstractNumId w:val="15"/>
  </w:num>
  <w:num w:numId="9">
    <w:abstractNumId w:val="13"/>
  </w:num>
  <w:num w:numId="10">
    <w:abstractNumId w:val="6"/>
  </w:num>
  <w:num w:numId="11">
    <w:abstractNumId w:val="22"/>
  </w:num>
  <w:num w:numId="12">
    <w:abstractNumId w:val="18"/>
  </w:num>
  <w:num w:numId="13">
    <w:abstractNumId w:val="4"/>
  </w:num>
  <w:num w:numId="14">
    <w:abstractNumId w:val="16"/>
  </w:num>
  <w:num w:numId="15">
    <w:abstractNumId w:val="2"/>
  </w:num>
  <w:num w:numId="16">
    <w:abstractNumId w:val="19"/>
  </w:num>
  <w:num w:numId="17">
    <w:abstractNumId w:val="21"/>
  </w:num>
  <w:num w:numId="18">
    <w:abstractNumId w:val="0"/>
  </w:num>
  <w:num w:numId="19">
    <w:abstractNumId w:val="5"/>
  </w:num>
  <w:num w:numId="20">
    <w:abstractNumId w:val="3"/>
  </w:num>
  <w:num w:numId="21">
    <w:abstractNumId w:val="17"/>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141"/>
    <w:rsid w:val="0002526B"/>
    <w:rsid w:val="00041837"/>
    <w:rsid w:val="00084260"/>
    <w:rsid w:val="000D7DA7"/>
    <w:rsid w:val="000F51E5"/>
    <w:rsid w:val="001743D8"/>
    <w:rsid w:val="00246705"/>
    <w:rsid w:val="0027214C"/>
    <w:rsid w:val="00273141"/>
    <w:rsid w:val="002A0D4C"/>
    <w:rsid w:val="002A0F96"/>
    <w:rsid w:val="002E5183"/>
    <w:rsid w:val="00344C85"/>
    <w:rsid w:val="00355DA9"/>
    <w:rsid w:val="003874CF"/>
    <w:rsid w:val="003C007B"/>
    <w:rsid w:val="003F70C6"/>
    <w:rsid w:val="003F788C"/>
    <w:rsid w:val="00443E40"/>
    <w:rsid w:val="0044421A"/>
    <w:rsid w:val="00476D31"/>
    <w:rsid w:val="00496977"/>
    <w:rsid w:val="004F36EC"/>
    <w:rsid w:val="005448C3"/>
    <w:rsid w:val="005543C9"/>
    <w:rsid w:val="005556A1"/>
    <w:rsid w:val="005924FD"/>
    <w:rsid w:val="00593653"/>
    <w:rsid w:val="005D04F6"/>
    <w:rsid w:val="0061119A"/>
    <w:rsid w:val="00633FBB"/>
    <w:rsid w:val="0064349A"/>
    <w:rsid w:val="006707F9"/>
    <w:rsid w:val="006E0399"/>
    <w:rsid w:val="006E58E1"/>
    <w:rsid w:val="0076299B"/>
    <w:rsid w:val="007B3B70"/>
    <w:rsid w:val="007C6EE4"/>
    <w:rsid w:val="007E2921"/>
    <w:rsid w:val="00841443"/>
    <w:rsid w:val="00892525"/>
    <w:rsid w:val="00924415"/>
    <w:rsid w:val="0093659F"/>
    <w:rsid w:val="00953238"/>
    <w:rsid w:val="00957EFE"/>
    <w:rsid w:val="00963DFE"/>
    <w:rsid w:val="009B70B4"/>
    <w:rsid w:val="009F4382"/>
    <w:rsid w:val="00A03619"/>
    <w:rsid w:val="00A06764"/>
    <w:rsid w:val="00AB3B09"/>
    <w:rsid w:val="00AE2D68"/>
    <w:rsid w:val="00B535C4"/>
    <w:rsid w:val="00B54E1C"/>
    <w:rsid w:val="00B91EBD"/>
    <w:rsid w:val="00BF08A0"/>
    <w:rsid w:val="00C01985"/>
    <w:rsid w:val="00C10540"/>
    <w:rsid w:val="00C33CD0"/>
    <w:rsid w:val="00C748ED"/>
    <w:rsid w:val="00C87516"/>
    <w:rsid w:val="00CD3189"/>
    <w:rsid w:val="00D6617F"/>
    <w:rsid w:val="00D86D7E"/>
    <w:rsid w:val="00D93048"/>
    <w:rsid w:val="00DD6044"/>
    <w:rsid w:val="00DF68C3"/>
    <w:rsid w:val="00E06403"/>
    <w:rsid w:val="00E519A5"/>
    <w:rsid w:val="00E528B3"/>
    <w:rsid w:val="00EC1605"/>
    <w:rsid w:val="00EF3998"/>
    <w:rsid w:val="00F0149B"/>
    <w:rsid w:val="00F20324"/>
    <w:rsid w:val="00F32FA1"/>
    <w:rsid w:val="00F4159D"/>
    <w:rsid w:val="00F52A91"/>
    <w:rsid w:val="00F7732C"/>
    <w:rsid w:val="00F91D99"/>
    <w:rsid w:val="00FB3E2D"/>
    <w:rsid w:val="00FE3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04CA6"/>
  <w15:chartTrackingRefBased/>
  <w15:docId w15:val="{C269B2BA-7759-4F8C-9C79-4369FB5E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764"/>
    <w:rPr>
      <w:sz w:val="24"/>
      <w:szCs w:val="24"/>
    </w:rPr>
  </w:style>
  <w:style w:type="paragraph" w:styleId="Heading1">
    <w:name w:val="heading 1"/>
    <w:basedOn w:val="Normal"/>
    <w:next w:val="Normal"/>
    <w:qFormat/>
    <w:pPr>
      <w:keepNext/>
      <w:spacing w:line="480" w:lineRule="auto"/>
      <w:jc w:val="center"/>
      <w:outlineLvl w:val="0"/>
    </w:pPr>
    <w:rPr>
      <w:b/>
      <w:szCs w:val="28"/>
    </w:rPr>
  </w:style>
  <w:style w:type="paragraph" w:styleId="Heading2">
    <w:name w:val="heading 2"/>
    <w:basedOn w:val="Normal"/>
    <w:next w:val="Normal"/>
    <w:qFormat/>
    <w:pPr>
      <w:keepNext/>
      <w:spacing w:line="480" w:lineRule="auto"/>
      <w:outlineLvl w:val="1"/>
    </w:pPr>
    <w:rPr>
      <w:b/>
      <w:szCs w:val="28"/>
      <w:lang w:val="id-ID"/>
    </w:rPr>
  </w:style>
  <w:style w:type="paragraph" w:styleId="Heading3">
    <w:name w:val="heading 3"/>
    <w:basedOn w:val="Normal"/>
    <w:next w:val="Normal"/>
    <w:qFormat/>
    <w:pPr>
      <w:keepNext/>
      <w:spacing w:line="480" w:lineRule="auto"/>
      <w:jc w:val="both"/>
      <w:outlineLvl w:val="2"/>
    </w:pPr>
    <w:rPr>
      <w:b/>
      <w:lang w:val="id-ID"/>
    </w:rPr>
  </w:style>
  <w:style w:type="paragraph" w:styleId="Heading4">
    <w:name w:val="heading 4"/>
    <w:basedOn w:val="Normal"/>
    <w:next w:val="Normal"/>
    <w:qFormat/>
    <w:pPr>
      <w:keepNext/>
      <w:spacing w:line="480" w:lineRule="auto"/>
      <w:ind w:left="180" w:hanging="180"/>
      <w:jc w:val="both"/>
      <w:outlineLvl w:val="3"/>
    </w:pPr>
    <w:rPr>
      <w:b/>
      <w:lang w:val="id-ID"/>
    </w:rPr>
  </w:style>
  <w:style w:type="paragraph" w:styleId="Heading5">
    <w:name w:val="heading 5"/>
    <w:basedOn w:val="Normal"/>
    <w:next w:val="Normal"/>
    <w:qFormat/>
    <w:pPr>
      <w:keepNext/>
      <w:spacing w:line="480" w:lineRule="auto"/>
      <w:outlineLvl w:val="4"/>
    </w:pPr>
    <w:rPr>
      <w:i/>
      <w:iCs/>
    </w:rPr>
  </w:style>
  <w:style w:type="paragraph" w:styleId="Heading6">
    <w:name w:val="heading 6"/>
    <w:basedOn w:val="Normal"/>
    <w:next w:val="Normal"/>
    <w:qFormat/>
    <w:pPr>
      <w:keepNext/>
      <w:jc w:val="both"/>
      <w:outlineLvl w:val="5"/>
    </w:pPr>
    <w:rPr>
      <w:b/>
      <w:bCs/>
      <w:iCs/>
      <w:sz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line="480" w:lineRule="auto"/>
      <w:jc w:val="both"/>
    </w:pPr>
    <w:rPr>
      <w:lang w:val="id-ID"/>
    </w:rPr>
  </w:style>
  <w:style w:type="paragraph" w:styleId="Header">
    <w:name w:val="header"/>
    <w:basedOn w:val="Normal"/>
    <w:link w:val="HeaderChar"/>
    <w:uiPriority w:val="99"/>
    <w:pPr>
      <w:tabs>
        <w:tab w:val="center" w:pos="4320"/>
        <w:tab w:val="right" w:pos="8640"/>
      </w:tabs>
    </w:pPr>
  </w:style>
  <w:style w:type="paragraph" w:styleId="BodyTextIndent">
    <w:name w:val="Body Text Indent"/>
    <w:basedOn w:val="Normal"/>
    <w:pPr>
      <w:spacing w:line="480" w:lineRule="auto"/>
      <w:ind w:firstLine="180"/>
      <w:jc w:val="both"/>
    </w:pPr>
    <w:rPr>
      <w:lang w:val="id-ID"/>
    </w:rPr>
  </w:style>
  <w:style w:type="paragraph" w:styleId="BodyTextIndent2">
    <w:name w:val="Body Text Indent 2"/>
    <w:basedOn w:val="Normal"/>
    <w:pPr>
      <w:spacing w:line="480" w:lineRule="auto"/>
      <w:ind w:left="180" w:hanging="180"/>
      <w:jc w:val="both"/>
    </w:pPr>
    <w:rPr>
      <w:lang w:val="id-ID"/>
    </w:rPr>
  </w:style>
  <w:style w:type="paragraph" w:styleId="BodyTextIndent3">
    <w:name w:val="Body Text Indent 3"/>
    <w:basedOn w:val="Normal"/>
    <w:pPr>
      <w:spacing w:line="480" w:lineRule="auto"/>
      <w:ind w:firstLine="720"/>
      <w:jc w:val="both"/>
    </w:pPr>
    <w:rPr>
      <w:lang w:val="id-ID"/>
    </w:rPr>
  </w:style>
  <w:style w:type="character" w:styleId="FollowedHyperlink">
    <w:name w:val="FollowedHyperlink"/>
    <w:rPr>
      <w:color w:val="800080"/>
      <w:u w:val="single"/>
    </w:rPr>
  </w:style>
  <w:style w:type="character" w:customStyle="1" w:styleId="FooterChar">
    <w:name w:val="Footer Char"/>
    <w:link w:val="Footer"/>
    <w:uiPriority w:val="99"/>
    <w:rsid w:val="006707F9"/>
    <w:rPr>
      <w:sz w:val="24"/>
      <w:szCs w:val="24"/>
    </w:rPr>
  </w:style>
  <w:style w:type="paragraph" w:styleId="BalloonText">
    <w:name w:val="Balloon Text"/>
    <w:basedOn w:val="Normal"/>
    <w:link w:val="BalloonTextChar"/>
    <w:rsid w:val="006707F9"/>
    <w:rPr>
      <w:rFonts w:ascii="Tahoma" w:hAnsi="Tahoma" w:cs="Tahoma"/>
      <w:sz w:val="16"/>
      <w:szCs w:val="16"/>
    </w:rPr>
  </w:style>
  <w:style w:type="character" w:customStyle="1" w:styleId="BalloonTextChar">
    <w:name w:val="Balloon Text Char"/>
    <w:link w:val="BalloonText"/>
    <w:rsid w:val="006707F9"/>
    <w:rPr>
      <w:rFonts w:ascii="Tahoma" w:hAnsi="Tahoma" w:cs="Tahoma"/>
      <w:sz w:val="16"/>
      <w:szCs w:val="16"/>
    </w:rPr>
  </w:style>
  <w:style w:type="character" w:customStyle="1" w:styleId="HeaderChar">
    <w:name w:val="Header Char"/>
    <w:link w:val="Header"/>
    <w:uiPriority w:val="99"/>
    <w:rsid w:val="00C33CD0"/>
    <w:rPr>
      <w:sz w:val="24"/>
      <w:szCs w:val="24"/>
    </w:rPr>
  </w:style>
  <w:style w:type="paragraph" w:styleId="FootnoteText">
    <w:name w:val="footnote text"/>
    <w:basedOn w:val="Normal"/>
    <w:link w:val="FootnoteTextChar"/>
    <w:rsid w:val="00DF68C3"/>
    <w:rPr>
      <w:sz w:val="20"/>
      <w:szCs w:val="20"/>
    </w:rPr>
  </w:style>
  <w:style w:type="character" w:customStyle="1" w:styleId="FootnoteTextChar">
    <w:name w:val="Footnote Text Char"/>
    <w:basedOn w:val="DefaultParagraphFont"/>
    <w:link w:val="FootnoteText"/>
    <w:rsid w:val="00DF68C3"/>
  </w:style>
  <w:style w:type="character" w:styleId="FootnoteReference">
    <w:name w:val="footnote reference"/>
    <w:rsid w:val="00DF68C3"/>
    <w:rPr>
      <w:vertAlign w:val="superscript"/>
    </w:rPr>
  </w:style>
  <w:style w:type="paragraph" w:styleId="Caption">
    <w:name w:val="caption"/>
    <w:basedOn w:val="Normal"/>
    <w:next w:val="Normal"/>
    <w:unhideWhenUsed/>
    <w:qFormat/>
    <w:rsid w:val="00C01985"/>
    <w:rPr>
      <w:b/>
      <w:bCs/>
      <w:sz w:val="20"/>
      <w:szCs w:val="20"/>
    </w:rPr>
  </w:style>
  <w:style w:type="paragraph" w:styleId="ListParagraph">
    <w:name w:val="List Paragraph"/>
    <w:basedOn w:val="Normal"/>
    <w:uiPriority w:val="34"/>
    <w:qFormat/>
    <w:rsid w:val="00C01985"/>
    <w:pPr>
      <w:spacing w:after="160" w:line="259" w:lineRule="auto"/>
      <w:ind w:left="720"/>
      <w:contextualSpacing/>
    </w:pPr>
    <w:rPr>
      <w:rFonts w:ascii="Calibri" w:eastAsia="Calibri" w:hAnsi="Calibri" w:cs="Calibri"/>
      <w:sz w:val="22"/>
      <w:szCs w:val="22"/>
      <w:lang w:val="en"/>
    </w:rPr>
  </w:style>
  <w:style w:type="table" w:styleId="TableGrid">
    <w:name w:val="Table Grid"/>
    <w:basedOn w:val="TableNormal"/>
    <w:uiPriority w:val="39"/>
    <w:rsid w:val="00084260"/>
    <w:rPr>
      <w:rFonts w:ascii="Calibri" w:eastAsia="Calibri" w:hAnsi="Calibri" w:cs="Calibri"/>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41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4AEBC-272C-4D82-99E7-7463FBEBA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10607</Words>
  <Characters>60460</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Analisis Faktor-Faktor yang Mempengaruhi</vt:lpstr>
    </vt:vector>
  </TitlesOfParts>
  <Company>Tianshi Groups</Company>
  <LinksUpToDate>false</LinksUpToDate>
  <CharactersWithSpaces>70926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Faktor-Faktor yang Mempengaruhi</dc:title>
  <dc:subject/>
  <dc:creator>Rijal Rahman</dc:creator>
  <cp:keywords/>
  <cp:lastModifiedBy>Heru Prastyo</cp:lastModifiedBy>
  <cp:revision>9</cp:revision>
  <cp:lastPrinted>2026-04-20T03:15:00Z</cp:lastPrinted>
  <dcterms:created xsi:type="dcterms:W3CDTF">2026-03-11T22:29:00Z</dcterms:created>
  <dcterms:modified xsi:type="dcterms:W3CDTF">2026-04-20T03:15:00Z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406521a7-3c6a-3ea8-93c4-77fa3e4df134</vt:lpwstr>
  </property>
  <property fmtid="{D5CDD505-2E9C-101B-9397-08002B2CF9AE}" pid="24" name="Mendeley Citation Style_1">
    <vt:lpwstr>http://www.zotero.org/styles/apa</vt:lpwstr>
  </property>
</Properties>
</file>